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2AB" w:rsidRPr="00FB02AB" w:rsidRDefault="00FB02AB" w:rsidP="00FB02AB">
      <w:pPr>
        <w:jc w:val="right"/>
        <w:rPr>
          <w:b/>
          <w:bCs/>
        </w:rPr>
      </w:pPr>
      <w:r w:rsidRPr="00FB02AB">
        <w:rPr>
          <w:b/>
          <w:bCs/>
          <w:noProof/>
          <w:lang w:eastAsia="en-GB"/>
        </w:rPr>
        <w:drawing>
          <wp:inline distT="0" distB="0" distL="0" distR="0">
            <wp:extent cx="1621649" cy="323850"/>
            <wp:effectExtent l="19050" t="0" r="0" b="0"/>
            <wp:docPr id="1" name="Picture 1" descr="X:\Lothian Medical Committee\Miscellaneous\Admin\Large_logo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thian Medical Committee\Miscellaneous\Admin\Large_logo_whitebg.jpg"/>
                    <pic:cNvPicPr>
                      <a:picLocks noChangeAspect="1" noChangeArrowheads="1"/>
                    </pic:cNvPicPr>
                  </pic:nvPicPr>
                  <pic:blipFill>
                    <a:blip r:embed="rId8" cstate="print"/>
                    <a:srcRect/>
                    <a:stretch>
                      <a:fillRect/>
                    </a:stretch>
                  </pic:blipFill>
                  <pic:spPr bwMode="auto">
                    <a:xfrm>
                      <a:off x="0" y="0"/>
                      <a:ext cx="1621982" cy="323916"/>
                    </a:xfrm>
                    <a:prstGeom prst="rect">
                      <a:avLst/>
                    </a:prstGeom>
                    <a:noFill/>
                    <a:ln w="9525">
                      <a:noFill/>
                      <a:miter lim="800000"/>
                      <a:headEnd/>
                      <a:tailEnd/>
                    </a:ln>
                  </pic:spPr>
                </pic:pic>
              </a:graphicData>
            </a:graphic>
          </wp:inline>
        </w:drawing>
      </w:r>
    </w:p>
    <w:p w:rsidR="002D7E1A" w:rsidRPr="00761612" w:rsidRDefault="00FB02AB" w:rsidP="00761612">
      <w:pPr>
        <w:jc w:val="center"/>
        <w:rPr>
          <w:b/>
          <w:bCs/>
          <w:u w:val="single"/>
        </w:rPr>
      </w:pPr>
      <w:r>
        <w:rPr>
          <w:b/>
          <w:bCs/>
          <w:u w:val="single"/>
        </w:rPr>
        <w:t>SHIELDING PATIENTS v1 April 2020</w:t>
      </w:r>
    </w:p>
    <w:p w:rsidR="00761612" w:rsidRPr="00761612" w:rsidRDefault="00761612" w:rsidP="00761612">
      <w:pPr>
        <w:rPr>
          <w:b/>
          <w:bCs/>
          <w:color w:val="FF0000"/>
          <w:u w:val="single"/>
        </w:rPr>
      </w:pPr>
      <w:r w:rsidRPr="00761612">
        <w:rPr>
          <w:b/>
          <w:bCs/>
          <w:color w:val="FF0000"/>
          <w:u w:val="single"/>
        </w:rPr>
        <w:t>CLINICAL RISK and THRESHOLDS FOR INTERVENTION</w:t>
      </w:r>
    </w:p>
    <w:p w:rsidR="00CA3D31" w:rsidRDefault="00A94072" w:rsidP="00E91C0B">
      <w:r w:rsidRPr="00761612">
        <w:rPr>
          <w:b/>
          <w:bCs/>
          <w:u w:val="single"/>
        </w:rPr>
        <w:t>Those on</w:t>
      </w:r>
      <w:r w:rsidR="00E91C0B">
        <w:rPr>
          <w:b/>
          <w:bCs/>
          <w:u w:val="single"/>
        </w:rPr>
        <w:t xml:space="preserve"> the shielding</w:t>
      </w:r>
      <w:r w:rsidRPr="00761612">
        <w:rPr>
          <w:b/>
          <w:bCs/>
          <w:u w:val="single"/>
        </w:rPr>
        <w:t xml:space="preserve"> list are</w:t>
      </w:r>
      <w:r w:rsidR="00E91C0B">
        <w:rPr>
          <w:b/>
          <w:bCs/>
          <w:u w:val="single"/>
        </w:rPr>
        <w:t xml:space="preserve"> at</w:t>
      </w:r>
      <w:r w:rsidRPr="00761612">
        <w:rPr>
          <w:b/>
          <w:bCs/>
          <w:u w:val="single"/>
        </w:rPr>
        <w:t xml:space="preserve"> high risk of </w:t>
      </w:r>
      <w:r w:rsidR="00C21077">
        <w:rPr>
          <w:b/>
          <w:bCs/>
          <w:u w:val="single"/>
        </w:rPr>
        <w:t>COVID</w:t>
      </w:r>
      <w:r w:rsidR="00761612" w:rsidRPr="00761612">
        <w:rPr>
          <w:b/>
          <w:bCs/>
          <w:u w:val="single"/>
        </w:rPr>
        <w:t xml:space="preserve"> C</w:t>
      </w:r>
      <w:r w:rsidRPr="00761612">
        <w:rPr>
          <w:b/>
          <w:bCs/>
          <w:u w:val="single"/>
        </w:rPr>
        <w:t>OMPLICATIONS</w:t>
      </w:r>
      <w:r>
        <w:t xml:space="preserve"> but that does</w:t>
      </w:r>
      <w:r w:rsidRPr="00A75A42">
        <w:rPr>
          <w:i/>
          <w:iCs/>
        </w:rPr>
        <w:t xml:space="preserve"> </w:t>
      </w:r>
      <w:r w:rsidRPr="00A75A42">
        <w:rPr>
          <w:u w:val="single"/>
        </w:rPr>
        <w:t xml:space="preserve">not </w:t>
      </w:r>
      <w:r>
        <w:t xml:space="preserve">necessarily mean either palliative or unsuitable for ITU. </w:t>
      </w:r>
      <w:r w:rsidR="00CA3D31">
        <w:t>It is helpful to distinguish:</w:t>
      </w:r>
    </w:p>
    <w:p w:rsidR="00CA3D31" w:rsidRDefault="00CA3D31" w:rsidP="00CA3D31">
      <w:pPr>
        <w:pStyle w:val="ListParagraph"/>
        <w:numPr>
          <w:ilvl w:val="0"/>
          <w:numId w:val="16"/>
        </w:numPr>
      </w:pPr>
      <w:r>
        <w:t>Shielding – reducing risk of vulnerable patients contracting COVID</w:t>
      </w:r>
    </w:p>
    <w:p w:rsidR="00CA3D31" w:rsidRDefault="00CA3D31" w:rsidP="00CA3D31">
      <w:pPr>
        <w:pStyle w:val="ListParagraph"/>
        <w:numPr>
          <w:ilvl w:val="0"/>
          <w:numId w:val="16"/>
        </w:numPr>
      </w:pPr>
      <w:r>
        <w:t>Anticipatory Care Planning – what happens if they do become infected.</w:t>
      </w:r>
    </w:p>
    <w:p w:rsidR="00543B69" w:rsidRDefault="00543B69" w:rsidP="00543B69">
      <w:r>
        <w:t>The letter patients received was not primarily to discuss ventilation / ceilings of care – but there are opportunities with some patients to explore these and address unwarranted fears. There are very varied levels of need and disability within the list and therefore individual assessment will be required for specific decisions around anticipatory care.</w:t>
      </w:r>
    </w:p>
    <w:p w:rsidR="00A94072" w:rsidRPr="00761612" w:rsidRDefault="00543B69" w:rsidP="00543B69">
      <w:pPr>
        <w:rPr>
          <w:b/>
          <w:bCs/>
        </w:rPr>
      </w:pPr>
      <w:r>
        <w:rPr>
          <w:b/>
          <w:bCs/>
          <w:u w:val="single"/>
        </w:rPr>
        <w:t>T</w:t>
      </w:r>
      <w:r w:rsidR="00A94072" w:rsidRPr="00761612">
        <w:rPr>
          <w:b/>
          <w:bCs/>
          <w:u w:val="single"/>
        </w:rPr>
        <w:t xml:space="preserve">HRESHOLDS </w:t>
      </w:r>
      <w:r w:rsidR="00761612" w:rsidRPr="00761612">
        <w:rPr>
          <w:b/>
          <w:bCs/>
          <w:u w:val="single"/>
        </w:rPr>
        <w:t>–</w:t>
      </w:r>
      <w:r w:rsidR="00A94072" w:rsidRPr="00761612">
        <w:rPr>
          <w:b/>
          <w:bCs/>
          <w:u w:val="single"/>
        </w:rPr>
        <w:t xml:space="preserve"> </w:t>
      </w:r>
      <w:r w:rsidR="00761612" w:rsidRPr="00761612">
        <w:rPr>
          <w:b/>
          <w:bCs/>
          <w:u w:val="single"/>
        </w:rPr>
        <w:t xml:space="preserve">main </w:t>
      </w:r>
      <w:r w:rsidR="00A94072" w:rsidRPr="00761612">
        <w:rPr>
          <w:b/>
          <w:bCs/>
          <w:u w:val="single"/>
        </w:rPr>
        <w:t xml:space="preserve">decisions in those ill with </w:t>
      </w:r>
      <w:r w:rsidR="00C21077">
        <w:rPr>
          <w:b/>
          <w:bCs/>
          <w:u w:val="single"/>
        </w:rPr>
        <w:t>COVID</w:t>
      </w:r>
      <w:r w:rsidR="00A94072" w:rsidRPr="00761612">
        <w:rPr>
          <w:b/>
          <w:bCs/>
          <w:u w:val="single"/>
        </w:rPr>
        <w:t xml:space="preserve"> </w:t>
      </w:r>
      <w:r w:rsidR="00761612" w:rsidRPr="00761612">
        <w:rPr>
          <w:b/>
          <w:bCs/>
          <w:u w:val="single"/>
        </w:rPr>
        <w:t>positive</w:t>
      </w:r>
      <w:r w:rsidR="00A94072" w:rsidRPr="00761612">
        <w:rPr>
          <w:b/>
          <w:bCs/>
          <w:u w:val="single"/>
        </w:rPr>
        <w:t xml:space="preserve"> are</w:t>
      </w:r>
      <w:r w:rsidR="00A94072" w:rsidRPr="00761612">
        <w:rPr>
          <w:b/>
          <w:bCs/>
        </w:rPr>
        <w:t>:</w:t>
      </w:r>
    </w:p>
    <w:p w:rsidR="00761612" w:rsidRDefault="00A94072" w:rsidP="008647FC">
      <w:pPr>
        <w:pStyle w:val="ListParagraph"/>
        <w:numPr>
          <w:ilvl w:val="0"/>
          <w:numId w:val="7"/>
        </w:numPr>
      </w:pPr>
      <w:r w:rsidRPr="00A94072">
        <w:rPr>
          <w:u w:val="single"/>
        </w:rPr>
        <w:t>Appropriate for admission</w:t>
      </w:r>
      <w:r>
        <w:t xml:space="preserve">? </w:t>
      </w:r>
    </w:p>
    <w:p w:rsidR="00761612" w:rsidRPr="00761612" w:rsidRDefault="00761612" w:rsidP="008647FC">
      <w:pPr>
        <w:pStyle w:val="ListParagraph"/>
        <w:numPr>
          <w:ilvl w:val="0"/>
          <w:numId w:val="13"/>
        </w:numPr>
      </w:pPr>
      <w:r>
        <w:rPr>
          <w:u w:val="single"/>
        </w:rPr>
        <w:t>Sufficiently ill</w:t>
      </w:r>
    </w:p>
    <w:p w:rsidR="00A94072" w:rsidRDefault="00761612" w:rsidP="008647FC">
      <w:pPr>
        <w:pStyle w:val="ListParagraph"/>
        <w:numPr>
          <w:ilvl w:val="0"/>
          <w:numId w:val="13"/>
        </w:numPr>
      </w:pPr>
      <w:r w:rsidRPr="00761612">
        <w:rPr>
          <w:u w:val="single"/>
        </w:rPr>
        <w:t>B</w:t>
      </w:r>
      <w:r w:rsidR="00A94072" w:rsidRPr="00761612">
        <w:rPr>
          <w:u w:val="single"/>
        </w:rPr>
        <w:t>est for</w:t>
      </w:r>
      <w:r w:rsidRPr="00761612">
        <w:rPr>
          <w:u w:val="single"/>
        </w:rPr>
        <w:t xml:space="preserve"> that</w:t>
      </w:r>
      <w:r w:rsidR="00A94072" w:rsidRPr="00761612">
        <w:rPr>
          <w:u w:val="single"/>
        </w:rPr>
        <w:t xml:space="preserve"> patient</w:t>
      </w:r>
      <w:r w:rsidR="00A94072">
        <w:t xml:space="preserve"> (some very ill and frail / poor life expectancy palliative care at home more humane)</w:t>
      </w:r>
      <w:r w:rsidR="00CA3D31">
        <w:t xml:space="preserve">. </w:t>
      </w:r>
    </w:p>
    <w:p w:rsidR="00A94072" w:rsidRDefault="00A94072" w:rsidP="008647FC">
      <w:pPr>
        <w:pStyle w:val="ListParagraph"/>
        <w:numPr>
          <w:ilvl w:val="0"/>
          <w:numId w:val="7"/>
        </w:numPr>
      </w:pPr>
      <w:r w:rsidRPr="00A94072">
        <w:rPr>
          <w:u w:val="single"/>
        </w:rPr>
        <w:t>Appropriate for ITU</w:t>
      </w:r>
      <w:r>
        <w:t>? – consider</w:t>
      </w:r>
      <w:r w:rsidR="004A6391">
        <w:t xml:space="preserve">ing </w:t>
      </w:r>
      <w:r>
        <w:t>this in terms of suitable for ventilation</w:t>
      </w:r>
      <w:r w:rsidR="004A6391">
        <w:t xml:space="preserve"> rather than ITU care makes </w:t>
      </w:r>
      <w:r w:rsidR="00E91C0B">
        <w:t xml:space="preserve">options </w:t>
      </w:r>
      <w:r w:rsidR="004A6391">
        <w:t>more explicit (and binary)</w:t>
      </w:r>
    </w:p>
    <w:p w:rsidR="00A94072" w:rsidRDefault="00A94072" w:rsidP="008647FC">
      <w:pPr>
        <w:pStyle w:val="ListParagraph"/>
        <w:numPr>
          <w:ilvl w:val="0"/>
          <w:numId w:val="7"/>
        </w:numPr>
      </w:pPr>
      <w:r>
        <w:rPr>
          <w:u w:val="single"/>
        </w:rPr>
        <w:t>CPR</w:t>
      </w:r>
      <w:r w:rsidRPr="00E91C0B">
        <w:t xml:space="preserve"> </w:t>
      </w:r>
      <w:r>
        <w:t>– essentially very helpful for those who would have a DNACPR under normal circumstances to have one</w:t>
      </w:r>
      <w:r w:rsidR="00CA3D31">
        <w:t xml:space="preserve"> and they would generally not be suitable for ICU either</w:t>
      </w:r>
      <w:r>
        <w:t xml:space="preserve">. But CPR will not work in those with cardiac arrest due to advanced </w:t>
      </w:r>
      <w:r w:rsidR="00C21077">
        <w:t>COVID</w:t>
      </w:r>
      <w:r>
        <w:t xml:space="preserve"> respiratory failure WHATEVER the pre-morbid condition.</w:t>
      </w:r>
      <w:r w:rsidR="00761612">
        <w:t xml:space="preserve"> </w:t>
      </w:r>
    </w:p>
    <w:p w:rsidR="00761612" w:rsidRPr="00761612" w:rsidRDefault="00761612" w:rsidP="00761612">
      <w:pPr>
        <w:rPr>
          <w:b/>
          <w:bCs/>
          <w:i/>
          <w:iCs/>
        </w:rPr>
      </w:pPr>
      <w:r w:rsidRPr="00761612">
        <w:rPr>
          <w:b/>
          <w:bCs/>
          <w:i/>
          <w:iCs/>
        </w:rPr>
        <w:t xml:space="preserve">In ALL the </w:t>
      </w:r>
      <w:r w:rsidR="00543B69" w:rsidRPr="00761612">
        <w:rPr>
          <w:b/>
          <w:bCs/>
          <w:i/>
          <w:iCs/>
        </w:rPr>
        <w:t>above</w:t>
      </w:r>
      <w:r w:rsidR="00543B69">
        <w:rPr>
          <w:b/>
          <w:bCs/>
          <w:i/>
          <w:iCs/>
        </w:rPr>
        <w:t xml:space="preserve">, </w:t>
      </w:r>
      <w:r w:rsidR="00543B69" w:rsidRPr="00761612">
        <w:rPr>
          <w:b/>
          <w:bCs/>
          <w:i/>
          <w:iCs/>
        </w:rPr>
        <w:t>frailty</w:t>
      </w:r>
      <w:r w:rsidRPr="00761612">
        <w:rPr>
          <w:b/>
          <w:bCs/>
          <w:i/>
          <w:iCs/>
        </w:rPr>
        <w:t xml:space="preserve"> is a huge consideration whatever the age or co-morbidity.</w:t>
      </w:r>
      <w:r w:rsidR="004A6391">
        <w:rPr>
          <w:b/>
          <w:bCs/>
          <w:i/>
          <w:iCs/>
        </w:rPr>
        <w:t xml:space="preserve"> And most of those decisions will be made at the time of severe illness – most will never reach that point.</w:t>
      </w:r>
      <w:r w:rsidR="00CA3D31">
        <w:rPr>
          <w:b/>
          <w:bCs/>
          <w:i/>
          <w:iCs/>
        </w:rPr>
        <w:t xml:space="preserve"> A </w:t>
      </w:r>
      <w:hyperlink r:id="rId9" w:history="1">
        <w:r w:rsidR="00CA3D31" w:rsidRPr="00183AD0">
          <w:rPr>
            <w:rStyle w:val="Hyperlink"/>
            <w:b/>
            <w:bCs/>
            <w:i/>
            <w:iCs/>
          </w:rPr>
          <w:t>Frailty Score</w:t>
        </w:r>
      </w:hyperlink>
      <w:r w:rsidR="00CA3D31">
        <w:rPr>
          <w:b/>
          <w:bCs/>
          <w:i/>
          <w:iCs/>
        </w:rPr>
        <w:t xml:space="preserve"> of 5 often seems to represent the cut-off for intensive ventilatory treatment.</w:t>
      </w:r>
    </w:p>
    <w:p w:rsidR="007618F7" w:rsidRDefault="00761612" w:rsidP="00761612">
      <w:pPr>
        <w:rPr>
          <w:b/>
          <w:bCs/>
          <w:color w:val="FF0000"/>
          <w:u w:val="single"/>
        </w:rPr>
      </w:pPr>
      <w:r w:rsidRPr="00761612">
        <w:rPr>
          <w:b/>
          <w:bCs/>
          <w:color w:val="FF0000"/>
          <w:u w:val="single"/>
        </w:rPr>
        <w:t>PRIMARY / SECONDARY CARE INTERFACE</w:t>
      </w:r>
      <w:r w:rsidR="00543B69">
        <w:rPr>
          <w:b/>
          <w:bCs/>
          <w:color w:val="FF0000"/>
          <w:u w:val="single"/>
        </w:rPr>
        <w:t>:</w:t>
      </w:r>
    </w:p>
    <w:p w:rsidR="00761612" w:rsidRPr="00761612" w:rsidRDefault="00761612" w:rsidP="00761612">
      <w:pPr>
        <w:pStyle w:val="ListParagraph"/>
        <w:numPr>
          <w:ilvl w:val="0"/>
          <w:numId w:val="8"/>
        </w:numPr>
      </w:pPr>
      <w:r w:rsidRPr="00761612">
        <w:t xml:space="preserve">THERE IS A RISK OF MIXED MESSAGES </w:t>
      </w:r>
      <w:r w:rsidR="00E91C0B">
        <w:t>– potentially causing confusion and distress – if specialist</w:t>
      </w:r>
      <w:r w:rsidR="00543B69">
        <w:t xml:space="preserve"> teams</w:t>
      </w:r>
      <w:r w:rsidR="00E91C0B">
        <w:t xml:space="preserve"> and GPs are saying different things. </w:t>
      </w:r>
      <w:r w:rsidR="00E91C0B" w:rsidRPr="00E91C0B">
        <w:rPr>
          <w:i/>
          <w:iCs/>
        </w:rPr>
        <w:t>Always ask first if anyone else has been in touch</w:t>
      </w:r>
      <w:r w:rsidR="00183AD0">
        <w:rPr>
          <w:i/>
          <w:iCs/>
        </w:rPr>
        <w:t xml:space="preserve"> and what they have said</w:t>
      </w:r>
      <w:r w:rsidR="00E91C0B" w:rsidRPr="00E91C0B">
        <w:rPr>
          <w:i/>
          <w:iCs/>
        </w:rPr>
        <w:t>.</w:t>
      </w:r>
    </w:p>
    <w:p w:rsidR="00E91C0B" w:rsidRDefault="00761612" w:rsidP="00761612">
      <w:pPr>
        <w:pStyle w:val="ListParagraph"/>
        <w:numPr>
          <w:ilvl w:val="0"/>
          <w:numId w:val="8"/>
        </w:numPr>
      </w:pPr>
      <w:r w:rsidRPr="00761612">
        <w:t xml:space="preserve">Where the GP has updated the ACP – indicate SHIELDING CONVERSATION. </w:t>
      </w:r>
    </w:p>
    <w:p w:rsidR="00E91C0B" w:rsidRPr="00761612" w:rsidRDefault="00761612" w:rsidP="004674BB">
      <w:pPr>
        <w:pStyle w:val="ListParagraph"/>
        <w:numPr>
          <w:ilvl w:val="0"/>
          <w:numId w:val="8"/>
        </w:numPr>
      </w:pPr>
      <w:r w:rsidRPr="00761612">
        <w:t xml:space="preserve">Where the </w:t>
      </w:r>
      <w:r w:rsidR="00543B69">
        <w:t>s</w:t>
      </w:r>
      <w:r w:rsidRPr="00761612">
        <w:t xml:space="preserve">pecialist </w:t>
      </w:r>
      <w:r w:rsidR="00543B69">
        <w:t>team has done so</w:t>
      </w:r>
      <w:r w:rsidRPr="00761612">
        <w:t xml:space="preserve">, please send </w:t>
      </w:r>
      <w:r w:rsidR="00543B69">
        <w:t>ACP</w:t>
      </w:r>
      <w:r w:rsidRPr="00761612">
        <w:t xml:space="preserve"> / brief email</w:t>
      </w:r>
      <w:r w:rsidR="00543B69">
        <w:t xml:space="preserve"> </w:t>
      </w:r>
      <w:r w:rsidRPr="00761612">
        <w:t xml:space="preserve">to the practice </w:t>
      </w:r>
      <w:r>
        <w:t>/ clinical email boxes.</w:t>
      </w:r>
      <w:r w:rsidR="00543B69">
        <w:t xml:space="preserve"> </w:t>
      </w:r>
      <w:r w:rsidR="00E91C0B">
        <w:t>GPs can COPY AND PASTE INTO A KIS-ACP from an email, but not a letter.</w:t>
      </w:r>
    </w:p>
    <w:p w:rsidR="00761612" w:rsidRDefault="00761612" w:rsidP="00761612">
      <w:pPr>
        <w:pStyle w:val="ListParagraph"/>
        <w:numPr>
          <w:ilvl w:val="0"/>
          <w:numId w:val="8"/>
        </w:numPr>
      </w:pPr>
      <w:r>
        <w:t xml:space="preserve">GP Practice clinical email boxes are checked regularly and can be </w:t>
      </w:r>
      <w:r w:rsidR="00BB3FB3">
        <w:t xml:space="preserve">found on the NHS Lothian intranet directory under </w:t>
      </w:r>
      <w:hyperlink r:id="rId10" w:history="1">
        <w:r w:rsidR="00BB3FB3" w:rsidRPr="00E91C0B">
          <w:rPr>
            <w:rStyle w:val="Hyperlink"/>
          </w:rPr>
          <w:t xml:space="preserve">GP Clinical </w:t>
        </w:r>
        <w:r w:rsidR="00FB37E3" w:rsidRPr="00E91C0B">
          <w:rPr>
            <w:rStyle w:val="Hyperlink"/>
          </w:rPr>
          <w:t>Email Addresses</w:t>
        </w:r>
      </w:hyperlink>
      <w:r w:rsidR="00E91C0B">
        <w:t>.</w:t>
      </w:r>
    </w:p>
    <w:p w:rsidR="00A94072" w:rsidRDefault="00E91C0B" w:rsidP="00761612">
      <w:r>
        <w:rPr>
          <w:b/>
          <w:bCs/>
          <w:u w:val="single"/>
        </w:rPr>
        <w:t xml:space="preserve">In Lothian the recommendation is that </w:t>
      </w:r>
      <w:r w:rsidR="00A94072" w:rsidRPr="00761612">
        <w:rPr>
          <w:b/>
          <w:bCs/>
          <w:u w:val="single"/>
        </w:rPr>
        <w:t>those with the following are contacted by their specialist</w:t>
      </w:r>
      <w:r w:rsidR="00A94072">
        <w:t>:</w:t>
      </w:r>
    </w:p>
    <w:p w:rsidR="00A94072" w:rsidRDefault="007618F7" w:rsidP="00761612">
      <w:pPr>
        <w:pStyle w:val="ListParagraph"/>
        <w:numPr>
          <w:ilvl w:val="0"/>
          <w:numId w:val="10"/>
        </w:numPr>
      </w:pPr>
      <w:r>
        <w:t>Solid organ tr</w:t>
      </w:r>
      <w:r w:rsidR="00A94072">
        <w:t>ansplant</w:t>
      </w:r>
      <w:r>
        <w:t xml:space="preserve"> recipients</w:t>
      </w:r>
      <w:r w:rsidR="00183AD0">
        <w:t xml:space="preserve"> – </w:t>
      </w:r>
      <w:r w:rsidR="00183AD0" w:rsidRPr="00183AD0">
        <w:rPr>
          <w:i/>
          <w:iCs/>
        </w:rPr>
        <w:t>some are managed by teams elsewhere in the UK</w:t>
      </w:r>
      <w:r w:rsidR="00183AD0">
        <w:rPr>
          <w:i/>
          <w:iCs/>
        </w:rPr>
        <w:t xml:space="preserve"> </w:t>
      </w:r>
    </w:p>
    <w:p w:rsidR="00A94072" w:rsidRDefault="00A94072" w:rsidP="00761612">
      <w:pPr>
        <w:pStyle w:val="ListParagraph"/>
        <w:numPr>
          <w:ilvl w:val="0"/>
          <w:numId w:val="10"/>
        </w:numPr>
      </w:pPr>
      <w:r>
        <w:t>Chemotherapy / active cancer treatment /</w:t>
      </w:r>
      <w:r w:rsidR="007618F7">
        <w:t xml:space="preserve"> haematological malignancies</w:t>
      </w:r>
      <w:r w:rsidR="007618F7">
        <w:rPr>
          <w:rStyle w:val="FootnoteReference"/>
        </w:rPr>
        <w:footnoteReference w:id="1"/>
      </w:r>
    </w:p>
    <w:p w:rsidR="00543B69" w:rsidRDefault="007618F7" w:rsidP="00130BE3">
      <w:pPr>
        <w:pStyle w:val="ListParagraph"/>
        <w:numPr>
          <w:ilvl w:val="0"/>
          <w:numId w:val="10"/>
        </w:numPr>
      </w:pPr>
      <w:r>
        <w:lastRenderedPageBreak/>
        <w:t>Cystic fibrosis</w:t>
      </w:r>
    </w:p>
    <w:p w:rsidR="00A94072" w:rsidRDefault="00183AD0" w:rsidP="00130BE3">
      <w:pPr>
        <w:pStyle w:val="ListParagraph"/>
        <w:numPr>
          <w:ilvl w:val="0"/>
          <w:numId w:val="10"/>
        </w:numPr>
      </w:pPr>
      <w:r>
        <w:t>S</w:t>
      </w:r>
      <w:r w:rsidR="00A94072">
        <w:t xml:space="preserve">ickle cell disease and rare </w:t>
      </w:r>
      <w:r w:rsidR="00761612">
        <w:t>metabolic</w:t>
      </w:r>
      <w:r w:rsidR="00A94072">
        <w:t xml:space="preserve"> conditions</w:t>
      </w:r>
    </w:p>
    <w:p w:rsidR="00A94072" w:rsidRDefault="007618F7" w:rsidP="00761612">
      <w:pPr>
        <w:pStyle w:val="ListParagraph"/>
        <w:numPr>
          <w:ilvl w:val="0"/>
          <w:numId w:val="10"/>
        </w:numPr>
      </w:pPr>
      <w:r>
        <w:t>Where t</w:t>
      </w:r>
      <w:r w:rsidR="00A94072">
        <w:t>reatments PRESCRIBED</w:t>
      </w:r>
      <w:r>
        <w:t xml:space="preserve"> / MONITORED </w:t>
      </w:r>
      <w:r w:rsidR="00A94072">
        <w:t>by specialist (</w:t>
      </w:r>
      <w:r w:rsidR="00EE0CE3">
        <w:t>many immunosuppressants)</w:t>
      </w:r>
    </w:p>
    <w:p w:rsidR="00761612" w:rsidRDefault="00761612" w:rsidP="00761612">
      <w:pPr>
        <w:pStyle w:val="ListParagraph"/>
        <w:numPr>
          <w:ilvl w:val="0"/>
          <w:numId w:val="10"/>
        </w:numPr>
      </w:pPr>
      <w:r>
        <w:t>People who are pregnant with significant heart disease, congenital or acquired.</w:t>
      </w:r>
    </w:p>
    <w:p w:rsidR="00C21E99" w:rsidRDefault="00C21E99" w:rsidP="00761612">
      <w:pPr>
        <w:pStyle w:val="ListParagraph"/>
        <w:numPr>
          <w:ilvl w:val="0"/>
          <w:numId w:val="10"/>
        </w:numPr>
      </w:pPr>
      <w:r>
        <w:t>Others felt by the specialist to need shielding (</w:t>
      </w:r>
      <w:r w:rsidR="00E91C0B">
        <w:t xml:space="preserve">new </w:t>
      </w:r>
      <w:r>
        <w:t>category 7</w:t>
      </w:r>
      <w:r w:rsidR="00E91C0B">
        <w:t>, CMO letter</w:t>
      </w:r>
      <w:r>
        <w:t>)</w:t>
      </w:r>
      <w:r w:rsidR="00183AD0">
        <w:t xml:space="preserve"> – a varied group.</w:t>
      </w:r>
    </w:p>
    <w:p w:rsidR="007618F7" w:rsidRDefault="007618F7" w:rsidP="00761612">
      <w:r w:rsidRPr="00761612">
        <w:rPr>
          <w:b/>
          <w:bCs/>
          <w:u w:val="single"/>
        </w:rPr>
        <w:t>And the following by Practices</w:t>
      </w:r>
      <w:r w:rsidR="00F926AC">
        <w:t xml:space="preserve"> </w:t>
      </w:r>
    </w:p>
    <w:p w:rsidR="007618F7" w:rsidRDefault="007618F7" w:rsidP="00761612">
      <w:pPr>
        <w:pStyle w:val="ListParagraph"/>
        <w:numPr>
          <w:ilvl w:val="0"/>
          <w:numId w:val="9"/>
        </w:numPr>
      </w:pPr>
      <w:r>
        <w:t>Those on palliative care register</w:t>
      </w:r>
    </w:p>
    <w:p w:rsidR="007618F7" w:rsidRDefault="007618F7" w:rsidP="00761612">
      <w:pPr>
        <w:pStyle w:val="ListParagraph"/>
        <w:numPr>
          <w:ilvl w:val="0"/>
          <w:numId w:val="9"/>
        </w:numPr>
      </w:pPr>
      <w:r>
        <w:t>Severe respiratory conditions (other than C</w:t>
      </w:r>
      <w:r w:rsidR="00310DC2">
        <w:t xml:space="preserve">ystic </w:t>
      </w:r>
      <w:r>
        <w:t>F</w:t>
      </w:r>
      <w:r w:rsidR="00310DC2">
        <w:t>ibrosis</w:t>
      </w:r>
      <w:r>
        <w:t>)</w:t>
      </w:r>
    </w:p>
    <w:p w:rsidR="00AE0CD7" w:rsidRDefault="007618F7" w:rsidP="00AE0CD7">
      <w:pPr>
        <w:pStyle w:val="ListParagraph"/>
        <w:numPr>
          <w:ilvl w:val="0"/>
          <w:numId w:val="9"/>
        </w:numPr>
      </w:pPr>
      <w:r>
        <w:t>P</w:t>
      </w:r>
      <w:r w:rsidRPr="007618F7">
        <w:t xml:space="preserve">eople on </w:t>
      </w:r>
      <w:r w:rsidR="00F926AC" w:rsidRPr="007618F7">
        <w:t>immunosuppressant</w:t>
      </w:r>
      <w:r w:rsidRPr="007618F7">
        <w:t xml:space="preserve"> therapies sufficient to significantly increase risk of infection</w:t>
      </w:r>
      <w:r>
        <w:t xml:space="preserve"> – UNLESS prescribed for / monitored by secondary care (or solid organ transplant)</w:t>
      </w:r>
      <w:r w:rsidR="00AE0CD7" w:rsidRPr="00AE0CD7">
        <w:t xml:space="preserve"> </w:t>
      </w:r>
    </w:p>
    <w:p w:rsidR="00AE0CD7" w:rsidRDefault="00AE0CD7" w:rsidP="00AE0CD7">
      <w:pPr>
        <w:pStyle w:val="ListParagraph"/>
        <w:numPr>
          <w:ilvl w:val="0"/>
          <w:numId w:val="9"/>
        </w:numPr>
      </w:pPr>
      <w:r>
        <w:t>The large workload of supporting frail and care home patients who may not appear on shielding lists, some being ‘category’ 7 in the CMO’s updated letter.</w:t>
      </w:r>
    </w:p>
    <w:p w:rsidR="00A94072" w:rsidRPr="003A6433" w:rsidRDefault="00A94072" w:rsidP="00A94072">
      <w:pPr>
        <w:rPr>
          <w:b/>
          <w:bCs/>
        </w:rPr>
      </w:pPr>
      <w:r w:rsidRPr="003A6433">
        <w:rPr>
          <w:b/>
          <w:bCs/>
          <w:u w:val="single"/>
        </w:rPr>
        <w:t xml:space="preserve">There </w:t>
      </w:r>
      <w:r w:rsidR="00310DC2">
        <w:rPr>
          <w:b/>
          <w:bCs/>
          <w:u w:val="single"/>
        </w:rPr>
        <w:t>are national templates</w:t>
      </w:r>
      <w:r w:rsidRPr="003A6433">
        <w:rPr>
          <w:b/>
          <w:bCs/>
          <w:u w:val="single"/>
        </w:rPr>
        <w:t xml:space="preserve"> for ACP calls, but in addition please consider for all</w:t>
      </w:r>
      <w:r w:rsidRPr="003A6433">
        <w:rPr>
          <w:b/>
          <w:bCs/>
        </w:rPr>
        <w:t>:</w:t>
      </w:r>
    </w:p>
    <w:p w:rsidR="00A94072" w:rsidRDefault="003A6433" w:rsidP="003A6433">
      <w:pPr>
        <w:pStyle w:val="ListParagraph"/>
        <w:numPr>
          <w:ilvl w:val="0"/>
          <w:numId w:val="12"/>
        </w:numPr>
      </w:pPr>
      <w:r>
        <w:t>Inform DN team if CLEAR NEED for housebound nursing care</w:t>
      </w:r>
    </w:p>
    <w:p w:rsidR="003A6433" w:rsidRDefault="003A6433" w:rsidP="003A6433">
      <w:pPr>
        <w:pStyle w:val="ListParagraph"/>
        <w:numPr>
          <w:ilvl w:val="0"/>
          <w:numId w:val="12"/>
        </w:numPr>
      </w:pPr>
      <w:r>
        <w:t>Add a clinical frailty code</w:t>
      </w:r>
      <w:r w:rsidR="008647FC">
        <w:t xml:space="preserve"> wherever possible</w:t>
      </w:r>
      <w:r w:rsidR="00BB3FB3">
        <w:t xml:space="preserve"> - the </w:t>
      </w:r>
      <w:hyperlink r:id="rId11" w:history="1">
        <w:r w:rsidR="00BB3FB3" w:rsidRPr="00310DC2">
          <w:rPr>
            <w:rStyle w:val="Hyperlink"/>
          </w:rPr>
          <w:t>Rockford Frailty Score</w:t>
        </w:r>
      </w:hyperlink>
      <w:r w:rsidR="00BB3FB3">
        <w:t xml:space="preserve"> is</w:t>
      </w:r>
      <w:r w:rsidR="00310DC2">
        <w:t xml:space="preserve"> recommended </w:t>
      </w:r>
    </w:p>
    <w:p w:rsidR="003A6433" w:rsidRDefault="003A6433" w:rsidP="003A6433">
      <w:pPr>
        <w:pStyle w:val="ListParagraph"/>
        <w:numPr>
          <w:ilvl w:val="0"/>
          <w:numId w:val="12"/>
        </w:numPr>
      </w:pPr>
      <w:r>
        <w:t>Any issues where specialist teams need to be informed.</w:t>
      </w:r>
    </w:p>
    <w:p w:rsidR="000968CD" w:rsidRPr="000968CD" w:rsidRDefault="000968CD" w:rsidP="008647FC">
      <w:pPr>
        <w:rPr>
          <w:b/>
          <w:bCs/>
          <w:u w:val="single"/>
        </w:rPr>
      </w:pPr>
      <w:r w:rsidRPr="000968CD">
        <w:rPr>
          <w:b/>
          <w:bCs/>
          <w:u w:val="single"/>
        </w:rPr>
        <w:t>There are a range of approaches. We suggest:</w:t>
      </w:r>
    </w:p>
    <w:p w:rsidR="000968CD" w:rsidRDefault="000968CD" w:rsidP="000968CD">
      <w:pPr>
        <w:pStyle w:val="ListParagraph"/>
        <w:numPr>
          <w:ilvl w:val="0"/>
          <w:numId w:val="14"/>
        </w:numPr>
      </w:pPr>
      <w:r w:rsidRPr="000968CD">
        <w:rPr>
          <w:u w:val="single"/>
        </w:rPr>
        <w:t>For all</w:t>
      </w:r>
      <w:r>
        <w:t xml:space="preserve"> – check patient</w:t>
      </w:r>
      <w:r w:rsidR="009A2214">
        <w:t>’</w:t>
      </w:r>
      <w:r>
        <w:t xml:space="preserve">s </w:t>
      </w:r>
      <w:r w:rsidR="004A6391">
        <w:t xml:space="preserve">understanding, </w:t>
      </w:r>
      <w:r>
        <w:t>that care and medic</w:t>
      </w:r>
      <w:r w:rsidR="00A75A42">
        <w:t>ation</w:t>
      </w:r>
      <w:r>
        <w:t xml:space="preserve"> needs met, that know how to get help, have rescue medications where appropriate</w:t>
      </w:r>
      <w:r w:rsidR="004A6391">
        <w:t>, issues for ACP</w:t>
      </w:r>
      <w:r>
        <w:t>. HIGHLIGHT that General Practice is still there for</w:t>
      </w:r>
      <w:r w:rsidR="00EE0CE3">
        <w:t xml:space="preserve"> care,</w:t>
      </w:r>
      <w:r w:rsidR="00F926AC">
        <w:t xml:space="preserve"> </w:t>
      </w:r>
      <w:r w:rsidR="00EE0CE3">
        <w:t>and open at the usual times….</w:t>
      </w:r>
    </w:p>
    <w:p w:rsidR="000968CD" w:rsidRPr="00A75A42" w:rsidRDefault="000968CD" w:rsidP="000968CD">
      <w:pPr>
        <w:pStyle w:val="ListParagraph"/>
        <w:numPr>
          <w:ilvl w:val="0"/>
          <w:numId w:val="14"/>
        </w:numPr>
        <w:rPr>
          <w:i/>
          <w:iCs/>
        </w:rPr>
      </w:pPr>
      <w:r w:rsidRPr="00A75A42">
        <w:rPr>
          <w:i/>
          <w:iCs/>
        </w:rPr>
        <w:t>Wherever possible check frailty status and add to ACP</w:t>
      </w:r>
      <w:r w:rsidR="00A75A42" w:rsidRPr="00A75A42">
        <w:rPr>
          <w:i/>
          <w:iCs/>
        </w:rPr>
        <w:t xml:space="preserve"> – hugely helpful for specialist colleagues</w:t>
      </w:r>
      <w:r w:rsidR="009A2214">
        <w:rPr>
          <w:i/>
          <w:iCs/>
        </w:rPr>
        <w:t xml:space="preserve"> AND our GP colleagues triaging in </w:t>
      </w:r>
      <w:r w:rsidR="00C21077">
        <w:rPr>
          <w:i/>
          <w:iCs/>
        </w:rPr>
        <w:t>COVID</w:t>
      </w:r>
      <w:r w:rsidR="009A2214">
        <w:rPr>
          <w:i/>
          <w:iCs/>
        </w:rPr>
        <w:t xml:space="preserve"> Hubs</w:t>
      </w:r>
      <w:r w:rsidR="00F926AC">
        <w:rPr>
          <w:i/>
          <w:iCs/>
        </w:rPr>
        <w:t>. Baseline function and oxygen sats greatly aid decision-making.</w:t>
      </w:r>
    </w:p>
    <w:p w:rsidR="000968CD" w:rsidRDefault="007A3355" w:rsidP="000968CD">
      <w:pPr>
        <w:pStyle w:val="ListParagraph"/>
        <w:numPr>
          <w:ilvl w:val="0"/>
          <w:numId w:val="14"/>
        </w:numPr>
      </w:pPr>
      <w:r>
        <w:t xml:space="preserve">We cannot always know in advance whether or not someone might be suitable for ventilation </w:t>
      </w:r>
      <w:r w:rsidR="00A02C1A">
        <w:t xml:space="preserve">(and decisions may in part relate to availability at the time) </w:t>
      </w:r>
      <w:r>
        <w:t>– so be cautious</w:t>
      </w:r>
      <w:r w:rsidR="00183AD0">
        <w:t xml:space="preserve">, </w:t>
      </w:r>
      <w:r w:rsidR="00A02C1A">
        <w:t>don’t feel that these decisions have to be made in advance.</w:t>
      </w:r>
      <w:r w:rsidR="0049434F">
        <w:t xml:space="preserve"> </w:t>
      </w:r>
      <w:r w:rsidR="00183AD0">
        <w:t xml:space="preserve">All </w:t>
      </w:r>
      <w:r w:rsidR="0049434F">
        <w:t xml:space="preserve">patients have </w:t>
      </w:r>
      <w:r w:rsidR="00183AD0">
        <w:t xml:space="preserve">an </w:t>
      </w:r>
      <w:hyperlink r:id="rId12" w:history="1">
        <w:r w:rsidR="00183AD0" w:rsidRPr="00183AD0">
          <w:rPr>
            <w:rStyle w:val="Hyperlink"/>
          </w:rPr>
          <w:t>COVID ACP form</w:t>
        </w:r>
      </w:hyperlink>
      <w:r w:rsidR="00183AD0">
        <w:t xml:space="preserve"> completed on admission.</w:t>
      </w:r>
    </w:p>
    <w:p w:rsidR="00A02C1A" w:rsidRDefault="00A02C1A" w:rsidP="000968CD">
      <w:pPr>
        <w:pStyle w:val="ListParagraph"/>
        <w:numPr>
          <w:ilvl w:val="0"/>
          <w:numId w:val="14"/>
        </w:numPr>
      </w:pPr>
      <w:r>
        <w:t xml:space="preserve">DNACPRs are not always the right thing, even in these difficult times. Alternative dialogues are possible and help our specialist colleagues if the person is admitted. An ACP example – </w:t>
      </w:r>
      <w:r w:rsidR="004A6391">
        <w:t>“XX</w:t>
      </w:r>
      <w:r>
        <w:t xml:space="preserve"> would normally be resuscitated but is aware that CPR in advanced </w:t>
      </w:r>
      <w:r w:rsidR="00C21077">
        <w:t>COVID</w:t>
      </w:r>
      <w:r>
        <w:t xml:space="preserve"> disease is ineffective</w:t>
      </w:r>
      <w:r w:rsidR="004A6391">
        <w:t>”</w:t>
      </w:r>
      <w:r>
        <w:t>.</w:t>
      </w:r>
    </w:p>
    <w:p w:rsidR="00A02C1A" w:rsidRDefault="00A02C1A" w:rsidP="000968CD">
      <w:pPr>
        <w:pStyle w:val="ListParagraph"/>
        <w:numPr>
          <w:ilvl w:val="0"/>
          <w:numId w:val="14"/>
        </w:numPr>
      </w:pPr>
      <w:r>
        <w:t xml:space="preserve">BUT for those who do have limited life spans, </w:t>
      </w:r>
      <w:r w:rsidR="004A6391">
        <w:t xml:space="preserve">or where ventilation is clearly not an option, </w:t>
      </w:r>
      <w:r>
        <w:t xml:space="preserve">then DNACPRs and ceiling discussions are </w:t>
      </w:r>
      <w:r w:rsidR="00A75A42">
        <w:t>hugely helpful.</w:t>
      </w:r>
    </w:p>
    <w:p w:rsidR="00A75A42" w:rsidRDefault="00A75A42" w:rsidP="000968CD">
      <w:pPr>
        <w:pStyle w:val="ListParagraph"/>
        <w:numPr>
          <w:ilvl w:val="0"/>
          <w:numId w:val="14"/>
        </w:numPr>
      </w:pPr>
      <w:r>
        <w:t xml:space="preserve">If ventilation will not work, then </w:t>
      </w:r>
      <w:r w:rsidR="004A6391">
        <w:t>‘doing no harm’ means</w:t>
      </w:r>
      <w:r>
        <w:t xml:space="preserve"> – not exposing that patient to unnecessary interventions, or false expectations.</w:t>
      </w:r>
    </w:p>
    <w:p w:rsidR="00A75A42" w:rsidRDefault="00A75A42" w:rsidP="000968CD">
      <w:pPr>
        <w:pStyle w:val="ListParagraph"/>
        <w:numPr>
          <w:ilvl w:val="0"/>
          <w:numId w:val="14"/>
        </w:numPr>
      </w:pPr>
      <w:r>
        <w:t>All these conversations can help future discussions and decision making</w:t>
      </w:r>
      <w:r w:rsidR="004A6391">
        <w:t>, even if they do not result in formal statements round limits of intervention.</w:t>
      </w:r>
    </w:p>
    <w:p w:rsidR="003A6433" w:rsidRPr="00A02C1A" w:rsidRDefault="004A6391" w:rsidP="003A6433">
      <w:pPr>
        <w:rPr>
          <w:b/>
          <w:bCs/>
        </w:rPr>
      </w:pPr>
      <w:r>
        <w:rPr>
          <w:b/>
          <w:bCs/>
        </w:rPr>
        <w:t>During the p</w:t>
      </w:r>
      <w:r w:rsidR="00A02C1A" w:rsidRPr="00A02C1A">
        <w:rPr>
          <w:b/>
          <w:bCs/>
        </w:rPr>
        <w:t>andemic</w:t>
      </w:r>
      <w:r>
        <w:rPr>
          <w:b/>
          <w:bCs/>
        </w:rPr>
        <w:t xml:space="preserve">, </w:t>
      </w:r>
      <w:r w:rsidR="00A02C1A" w:rsidRPr="004A6391">
        <w:rPr>
          <w:b/>
          <w:bCs/>
          <w:u w:val="single"/>
        </w:rPr>
        <w:t>p</w:t>
      </w:r>
      <w:r w:rsidRPr="004A6391">
        <w:rPr>
          <w:b/>
          <w:bCs/>
          <w:u w:val="single"/>
        </w:rPr>
        <w:t xml:space="preserve">atient </w:t>
      </w:r>
      <w:r w:rsidR="00A02C1A" w:rsidRPr="004A6391">
        <w:rPr>
          <w:b/>
          <w:bCs/>
          <w:u w:val="single"/>
        </w:rPr>
        <w:t>expectations</w:t>
      </w:r>
      <w:r w:rsidR="00A75A42">
        <w:rPr>
          <w:b/>
          <w:bCs/>
        </w:rPr>
        <w:t xml:space="preserve"> </w:t>
      </w:r>
      <w:r>
        <w:rPr>
          <w:b/>
          <w:bCs/>
        </w:rPr>
        <w:t xml:space="preserve">may </w:t>
      </w:r>
      <w:r w:rsidR="00A02C1A" w:rsidRPr="00A02C1A">
        <w:rPr>
          <w:b/>
          <w:bCs/>
        </w:rPr>
        <w:t xml:space="preserve">be </w:t>
      </w:r>
      <w:r>
        <w:rPr>
          <w:b/>
          <w:bCs/>
        </w:rPr>
        <w:t xml:space="preserve">very </w:t>
      </w:r>
      <w:r w:rsidR="00A02C1A" w:rsidRPr="00A02C1A">
        <w:rPr>
          <w:b/>
          <w:bCs/>
        </w:rPr>
        <w:t>different</w:t>
      </w:r>
      <w:r>
        <w:rPr>
          <w:b/>
          <w:bCs/>
        </w:rPr>
        <w:t>, and many will be realistic too</w:t>
      </w:r>
      <w:r w:rsidR="00A02C1A" w:rsidRPr="00A02C1A">
        <w:rPr>
          <w:b/>
          <w:bCs/>
        </w:rPr>
        <w:t>:</w:t>
      </w:r>
    </w:p>
    <w:tbl>
      <w:tblPr>
        <w:tblStyle w:val="TableGrid"/>
        <w:tblW w:w="10060" w:type="dxa"/>
        <w:tblLook w:val="04A0" w:firstRow="1" w:lastRow="0" w:firstColumn="1" w:lastColumn="0" w:noHBand="0" w:noVBand="1"/>
      </w:tblPr>
      <w:tblGrid>
        <w:gridCol w:w="4531"/>
        <w:gridCol w:w="5529"/>
      </w:tblGrid>
      <w:tr w:rsidR="007A3355" w:rsidTr="009A2214">
        <w:tc>
          <w:tcPr>
            <w:tcW w:w="4531" w:type="dxa"/>
          </w:tcPr>
          <w:p w:rsidR="007A3355" w:rsidRPr="00183AD0" w:rsidRDefault="007A3355" w:rsidP="003A6433">
            <w:pPr>
              <w:rPr>
                <w:b/>
                <w:bCs/>
                <w:sz w:val="20"/>
                <w:szCs w:val="20"/>
              </w:rPr>
            </w:pPr>
            <w:r w:rsidRPr="00183AD0">
              <w:rPr>
                <w:b/>
                <w:bCs/>
                <w:sz w:val="20"/>
                <w:szCs w:val="20"/>
              </w:rPr>
              <w:t>Normal situation</w:t>
            </w:r>
          </w:p>
        </w:tc>
        <w:tc>
          <w:tcPr>
            <w:tcW w:w="5529" w:type="dxa"/>
          </w:tcPr>
          <w:p w:rsidR="007A3355" w:rsidRPr="00183AD0" w:rsidRDefault="00C21077" w:rsidP="003A6433">
            <w:pPr>
              <w:rPr>
                <w:b/>
                <w:bCs/>
                <w:sz w:val="20"/>
                <w:szCs w:val="20"/>
              </w:rPr>
            </w:pPr>
            <w:r w:rsidRPr="00183AD0">
              <w:rPr>
                <w:b/>
                <w:bCs/>
                <w:sz w:val="20"/>
                <w:szCs w:val="20"/>
              </w:rPr>
              <w:t>COVID</w:t>
            </w:r>
            <w:r w:rsidR="007A3355" w:rsidRPr="00183AD0">
              <w:rPr>
                <w:b/>
                <w:bCs/>
                <w:sz w:val="20"/>
                <w:szCs w:val="20"/>
              </w:rPr>
              <w:t xml:space="preserve"> pandemic</w:t>
            </w:r>
          </w:p>
        </w:tc>
      </w:tr>
      <w:tr w:rsidR="007A3355" w:rsidTr="009A2214">
        <w:tc>
          <w:tcPr>
            <w:tcW w:w="4531" w:type="dxa"/>
          </w:tcPr>
          <w:p w:rsidR="007A3355" w:rsidRPr="00183AD0" w:rsidRDefault="00A75A42" w:rsidP="003A6433">
            <w:pPr>
              <w:rPr>
                <w:sz w:val="20"/>
                <w:szCs w:val="20"/>
              </w:rPr>
            </w:pPr>
            <w:r w:rsidRPr="00183AD0">
              <w:rPr>
                <w:sz w:val="20"/>
                <w:szCs w:val="20"/>
              </w:rPr>
              <w:t>Ho</w:t>
            </w:r>
            <w:r w:rsidR="007A3355" w:rsidRPr="00183AD0">
              <w:rPr>
                <w:sz w:val="20"/>
                <w:szCs w:val="20"/>
              </w:rPr>
              <w:t>spital</w:t>
            </w:r>
            <w:r w:rsidR="00A02C1A" w:rsidRPr="00183AD0">
              <w:rPr>
                <w:sz w:val="20"/>
                <w:szCs w:val="20"/>
              </w:rPr>
              <w:t xml:space="preserve">s </w:t>
            </w:r>
            <w:r w:rsidRPr="00183AD0">
              <w:rPr>
                <w:sz w:val="20"/>
                <w:szCs w:val="20"/>
              </w:rPr>
              <w:t>t</w:t>
            </w:r>
            <w:r w:rsidR="007A3355" w:rsidRPr="00183AD0">
              <w:rPr>
                <w:sz w:val="20"/>
                <w:szCs w:val="20"/>
              </w:rPr>
              <w:t>reat</w:t>
            </w:r>
            <w:r w:rsidRPr="00183AD0">
              <w:rPr>
                <w:sz w:val="20"/>
                <w:szCs w:val="20"/>
              </w:rPr>
              <w:t xml:space="preserve"> ill patients and make them better</w:t>
            </w:r>
          </w:p>
        </w:tc>
        <w:tc>
          <w:tcPr>
            <w:tcW w:w="5529" w:type="dxa"/>
          </w:tcPr>
          <w:p w:rsidR="007A3355" w:rsidRPr="00183AD0" w:rsidRDefault="00A02C1A" w:rsidP="003A6433">
            <w:pPr>
              <w:rPr>
                <w:sz w:val="20"/>
                <w:szCs w:val="20"/>
              </w:rPr>
            </w:pPr>
            <w:r w:rsidRPr="00183AD0">
              <w:rPr>
                <w:sz w:val="20"/>
                <w:szCs w:val="20"/>
              </w:rPr>
              <w:t>Hospitals are for the very ill, there is no</w:t>
            </w:r>
            <w:r w:rsidR="004A6391" w:rsidRPr="00183AD0">
              <w:rPr>
                <w:sz w:val="20"/>
                <w:szCs w:val="20"/>
              </w:rPr>
              <w:t xml:space="preserve"> </w:t>
            </w:r>
            <w:r w:rsidR="00C21077" w:rsidRPr="00183AD0">
              <w:rPr>
                <w:sz w:val="20"/>
                <w:szCs w:val="20"/>
              </w:rPr>
              <w:t>COVID</w:t>
            </w:r>
            <w:r w:rsidRPr="00183AD0">
              <w:rPr>
                <w:sz w:val="20"/>
                <w:szCs w:val="20"/>
              </w:rPr>
              <w:t xml:space="preserve"> treatment, death is likely</w:t>
            </w:r>
          </w:p>
        </w:tc>
      </w:tr>
      <w:tr w:rsidR="007A3355" w:rsidTr="009A2214">
        <w:tc>
          <w:tcPr>
            <w:tcW w:w="4531" w:type="dxa"/>
          </w:tcPr>
          <w:p w:rsidR="007A3355" w:rsidRPr="00183AD0" w:rsidRDefault="00A02C1A" w:rsidP="003A6433">
            <w:pPr>
              <w:rPr>
                <w:sz w:val="20"/>
                <w:szCs w:val="20"/>
              </w:rPr>
            </w:pPr>
            <w:r w:rsidRPr="00183AD0">
              <w:rPr>
                <w:sz w:val="20"/>
                <w:szCs w:val="20"/>
              </w:rPr>
              <w:t>Everyone likes a phonecall from their GP</w:t>
            </w:r>
          </w:p>
        </w:tc>
        <w:tc>
          <w:tcPr>
            <w:tcW w:w="5529" w:type="dxa"/>
          </w:tcPr>
          <w:p w:rsidR="007A3355" w:rsidRPr="00183AD0" w:rsidRDefault="00A02C1A" w:rsidP="003A6433">
            <w:pPr>
              <w:rPr>
                <w:sz w:val="20"/>
                <w:szCs w:val="20"/>
              </w:rPr>
            </w:pPr>
            <w:r w:rsidRPr="00183AD0">
              <w:rPr>
                <w:sz w:val="20"/>
                <w:szCs w:val="20"/>
              </w:rPr>
              <w:t>Cold calls are frightening – patients aware but don’t want to know more (already reported)</w:t>
            </w:r>
          </w:p>
        </w:tc>
      </w:tr>
      <w:tr w:rsidR="007A3355" w:rsidTr="009A2214">
        <w:tc>
          <w:tcPr>
            <w:tcW w:w="4531" w:type="dxa"/>
          </w:tcPr>
          <w:p w:rsidR="007A3355" w:rsidRPr="00183AD0" w:rsidRDefault="00A02C1A" w:rsidP="003A6433">
            <w:pPr>
              <w:rPr>
                <w:sz w:val="20"/>
                <w:szCs w:val="20"/>
              </w:rPr>
            </w:pPr>
            <w:r w:rsidRPr="00183AD0">
              <w:rPr>
                <w:sz w:val="20"/>
                <w:szCs w:val="20"/>
              </w:rPr>
              <w:t>People go to ITU to get better</w:t>
            </w:r>
          </w:p>
        </w:tc>
        <w:tc>
          <w:tcPr>
            <w:tcW w:w="5529" w:type="dxa"/>
          </w:tcPr>
          <w:p w:rsidR="007A3355" w:rsidRPr="00183AD0" w:rsidRDefault="00A02C1A" w:rsidP="003A6433">
            <w:pPr>
              <w:rPr>
                <w:sz w:val="20"/>
                <w:szCs w:val="20"/>
              </w:rPr>
            </w:pPr>
            <w:r w:rsidRPr="00183AD0">
              <w:rPr>
                <w:sz w:val="20"/>
                <w:szCs w:val="20"/>
              </w:rPr>
              <w:t>People go to ITU to die</w:t>
            </w:r>
          </w:p>
        </w:tc>
      </w:tr>
      <w:tr w:rsidR="004A6391" w:rsidTr="009A2214">
        <w:tc>
          <w:tcPr>
            <w:tcW w:w="4531" w:type="dxa"/>
          </w:tcPr>
          <w:p w:rsidR="004A6391" w:rsidRPr="00183AD0" w:rsidRDefault="004A6391" w:rsidP="003A6433">
            <w:pPr>
              <w:rPr>
                <w:sz w:val="20"/>
                <w:szCs w:val="20"/>
              </w:rPr>
            </w:pPr>
            <w:r w:rsidRPr="00183AD0">
              <w:rPr>
                <w:sz w:val="20"/>
                <w:szCs w:val="20"/>
              </w:rPr>
              <w:t>Everyone goes to ITU if they are sufficiently ill</w:t>
            </w:r>
          </w:p>
        </w:tc>
        <w:tc>
          <w:tcPr>
            <w:tcW w:w="5529" w:type="dxa"/>
          </w:tcPr>
          <w:p w:rsidR="004A6391" w:rsidRPr="00183AD0" w:rsidRDefault="004A6391" w:rsidP="003A6433">
            <w:pPr>
              <w:rPr>
                <w:sz w:val="20"/>
                <w:szCs w:val="20"/>
              </w:rPr>
            </w:pPr>
            <w:r w:rsidRPr="00183AD0">
              <w:rPr>
                <w:sz w:val="20"/>
                <w:szCs w:val="20"/>
              </w:rPr>
              <w:t>There are not enough ITU spaces for everyone</w:t>
            </w:r>
          </w:p>
        </w:tc>
      </w:tr>
      <w:tr w:rsidR="007A3355" w:rsidTr="009A2214">
        <w:tc>
          <w:tcPr>
            <w:tcW w:w="4531" w:type="dxa"/>
          </w:tcPr>
          <w:p w:rsidR="007A3355" w:rsidRPr="00183AD0" w:rsidRDefault="00A02C1A" w:rsidP="003A6433">
            <w:pPr>
              <w:rPr>
                <w:sz w:val="20"/>
                <w:szCs w:val="20"/>
              </w:rPr>
            </w:pPr>
            <w:r w:rsidRPr="00183AD0">
              <w:rPr>
                <w:sz w:val="20"/>
                <w:szCs w:val="20"/>
              </w:rPr>
              <w:lastRenderedPageBreak/>
              <w:t>Hospitals provide comforting end of life care</w:t>
            </w:r>
          </w:p>
        </w:tc>
        <w:tc>
          <w:tcPr>
            <w:tcW w:w="5529" w:type="dxa"/>
          </w:tcPr>
          <w:p w:rsidR="007A3355" w:rsidRPr="00183AD0" w:rsidRDefault="00A02C1A" w:rsidP="003A6433">
            <w:pPr>
              <w:rPr>
                <w:sz w:val="20"/>
                <w:szCs w:val="20"/>
              </w:rPr>
            </w:pPr>
            <w:r w:rsidRPr="00183AD0">
              <w:rPr>
                <w:sz w:val="20"/>
                <w:szCs w:val="20"/>
              </w:rPr>
              <w:t>Families and friends cannot visit; wards are more stressful and busier. There may be fewer staff than usual to provide everyday care due to staff illness / self-isolation</w:t>
            </w:r>
          </w:p>
        </w:tc>
      </w:tr>
      <w:tr w:rsidR="004A6391" w:rsidTr="009A2214">
        <w:tc>
          <w:tcPr>
            <w:tcW w:w="4531" w:type="dxa"/>
          </w:tcPr>
          <w:p w:rsidR="004A6391" w:rsidRPr="00183AD0" w:rsidRDefault="004A6391" w:rsidP="003A6433">
            <w:pPr>
              <w:rPr>
                <w:sz w:val="20"/>
                <w:szCs w:val="20"/>
              </w:rPr>
            </w:pPr>
            <w:r w:rsidRPr="00183AD0">
              <w:rPr>
                <w:sz w:val="20"/>
                <w:szCs w:val="20"/>
              </w:rPr>
              <w:t>My surgery is open during the week</w:t>
            </w:r>
          </w:p>
        </w:tc>
        <w:tc>
          <w:tcPr>
            <w:tcW w:w="5529" w:type="dxa"/>
          </w:tcPr>
          <w:p w:rsidR="004A6391" w:rsidRPr="00183AD0" w:rsidRDefault="004A6391" w:rsidP="003A6433">
            <w:pPr>
              <w:rPr>
                <w:sz w:val="20"/>
                <w:szCs w:val="20"/>
              </w:rPr>
            </w:pPr>
            <w:r w:rsidRPr="00183AD0">
              <w:rPr>
                <w:sz w:val="20"/>
                <w:szCs w:val="20"/>
              </w:rPr>
              <w:t xml:space="preserve">My surgery is closed </w:t>
            </w:r>
            <w:r w:rsidR="009A2214" w:rsidRPr="00AE0CD7">
              <w:rPr>
                <w:i/>
                <w:iCs/>
                <w:sz w:val="20"/>
                <w:szCs w:val="20"/>
              </w:rPr>
              <w:t>(not the case!)</w:t>
            </w:r>
          </w:p>
        </w:tc>
      </w:tr>
      <w:tr w:rsidR="00A02C1A" w:rsidTr="009A2214">
        <w:tc>
          <w:tcPr>
            <w:tcW w:w="4531" w:type="dxa"/>
          </w:tcPr>
          <w:p w:rsidR="00A02C1A" w:rsidRPr="00183AD0" w:rsidRDefault="00AE0CD7" w:rsidP="003A6433">
            <w:pPr>
              <w:rPr>
                <w:sz w:val="20"/>
                <w:szCs w:val="20"/>
              </w:rPr>
            </w:pPr>
            <w:r>
              <w:rPr>
                <w:sz w:val="20"/>
                <w:szCs w:val="20"/>
              </w:rPr>
              <w:t>P</w:t>
            </w:r>
            <w:r w:rsidR="00A02C1A" w:rsidRPr="00183AD0">
              <w:rPr>
                <w:sz w:val="20"/>
                <w:szCs w:val="20"/>
              </w:rPr>
              <w:t>atients with symptoms will phone their GP</w:t>
            </w:r>
          </w:p>
        </w:tc>
        <w:tc>
          <w:tcPr>
            <w:tcW w:w="5529" w:type="dxa"/>
          </w:tcPr>
          <w:p w:rsidR="00A02C1A" w:rsidRPr="00183AD0" w:rsidRDefault="00A02C1A" w:rsidP="003A6433">
            <w:pPr>
              <w:rPr>
                <w:sz w:val="20"/>
                <w:szCs w:val="20"/>
              </w:rPr>
            </w:pPr>
            <w:r w:rsidRPr="00183AD0">
              <w:rPr>
                <w:sz w:val="20"/>
                <w:szCs w:val="20"/>
              </w:rPr>
              <w:t>Patients may not phone even if their symptom</w:t>
            </w:r>
            <w:r w:rsidR="00543B69">
              <w:rPr>
                <w:sz w:val="20"/>
                <w:szCs w:val="20"/>
              </w:rPr>
              <w:t>s are</w:t>
            </w:r>
            <w:r w:rsidRPr="00183AD0">
              <w:rPr>
                <w:sz w:val="20"/>
                <w:szCs w:val="20"/>
              </w:rPr>
              <w:t xml:space="preserve"> significant </w:t>
            </w:r>
          </w:p>
        </w:tc>
      </w:tr>
    </w:tbl>
    <w:p w:rsidR="003A6433" w:rsidRDefault="003A6433" w:rsidP="00AE0CD7"/>
    <w:sectPr w:rsidR="003A6433" w:rsidSect="00DB4F92">
      <w:pgSz w:w="11906" w:h="16838"/>
      <w:pgMar w:top="1429" w:right="1077" w:bottom="142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530" w:rsidRDefault="00E24530" w:rsidP="007618F7">
      <w:pPr>
        <w:spacing w:after="0" w:line="240" w:lineRule="auto"/>
      </w:pPr>
      <w:r>
        <w:separator/>
      </w:r>
    </w:p>
  </w:endnote>
  <w:endnote w:type="continuationSeparator" w:id="0">
    <w:p w:rsidR="00E24530" w:rsidRDefault="00E24530" w:rsidP="0076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530" w:rsidRDefault="00E24530" w:rsidP="007618F7">
      <w:pPr>
        <w:spacing w:after="0" w:line="240" w:lineRule="auto"/>
      </w:pPr>
      <w:r>
        <w:separator/>
      </w:r>
    </w:p>
  </w:footnote>
  <w:footnote w:type="continuationSeparator" w:id="0">
    <w:p w:rsidR="00E24530" w:rsidRDefault="00E24530" w:rsidP="007618F7">
      <w:pPr>
        <w:spacing w:after="0" w:line="240" w:lineRule="auto"/>
      </w:pPr>
      <w:r>
        <w:continuationSeparator/>
      </w:r>
    </w:p>
  </w:footnote>
  <w:footnote w:id="1">
    <w:p w:rsidR="007618F7" w:rsidRPr="00183AD0" w:rsidRDefault="007618F7" w:rsidP="007618F7">
      <w:pPr>
        <w:pStyle w:val="FootnoteText"/>
        <w:rPr>
          <w:sz w:val="14"/>
          <w:szCs w:val="14"/>
        </w:rPr>
      </w:pPr>
      <w:r w:rsidRPr="00E91C0B">
        <w:rPr>
          <w:rStyle w:val="FootnoteReference"/>
          <w:sz w:val="16"/>
          <w:szCs w:val="16"/>
        </w:rPr>
        <w:footnoteRef/>
      </w:r>
      <w:r w:rsidRPr="00E91C0B">
        <w:rPr>
          <w:sz w:val="16"/>
          <w:szCs w:val="16"/>
        </w:rPr>
        <w:t xml:space="preserve"> </w:t>
      </w:r>
      <w:r w:rsidRPr="00183AD0">
        <w:rPr>
          <w:sz w:val="14"/>
          <w:szCs w:val="14"/>
        </w:rPr>
        <w:t xml:space="preserve">People with specific cancers: </w:t>
      </w:r>
    </w:p>
    <w:p w:rsidR="007618F7" w:rsidRPr="00183AD0" w:rsidRDefault="007618F7" w:rsidP="007618F7">
      <w:pPr>
        <w:pStyle w:val="FootnoteText"/>
        <w:numPr>
          <w:ilvl w:val="0"/>
          <w:numId w:val="6"/>
        </w:numPr>
        <w:rPr>
          <w:sz w:val="14"/>
          <w:szCs w:val="14"/>
        </w:rPr>
      </w:pPr>
      <w:r w:rsidRPr="00183AD0">
        <w:rPr>
          <w:sz w:val="14"/>
          <w:szCs w:val="14"/>
        </w:rPr>
        <w:t>People with cancer who are undergoing active chemotherapy or radical radiotherapy for lung cancer</w:t>
      </w:r>
    </w:p>
    <w:p w:rsidR="007618F7" w:rsidRPr="00183AD0" w:rsidRDefault="007618F7" w:rsidP="007618F7">
      <w:pPr>
        <w:pStyle w:val="FootnoteText"/>
        <w:numPr>
          <w:ilvl w:val="0"/>
          <w:numId w:val="6"/>
        </w:numPr>
        <w:rPr>
          <w:sz w:val="14"/>
          <w:szCs w:val="14"/>
        </w:rPr>
      </w:pPr>
      <w:r w:rsidRPr="00183AD0">
        <w:rPr>
          <w:sz w:val="14"/>
          <w:szCs w:val="14"/>
        </w:rPr>
        <w:t>People with cancers of the blood or bone marrow such as leukaemia, lymphoma or myeloma who are at any stage of treatment</w:t>
      </w:r>
    </w:p>
    <w:p w:rsidR="007618F7" w:rsidRPr="00183AD0" w:rsidRDefault="007618F7" w:rsidP="007618F7">
      <w:pPr>
        <w:pStyle w:val="FootnoteText"/>
        <w:numPr>
          <w:ilvl w:val="0"/>
          <w:numId w:val="6"/>
        </w:numPr>
        <w:rPr>
          <w:sz w:val="14"/>
          <w:szCs w:val="14"/>
        </w:rPr>
      </w:pPr>
      <w:r w:rsidRPr="00183AD0">
        <w:rPr>
          <w:sz w:val="14"/>
          <w:szCs w:val="14"/>
        </w:rPr>
        <w:t>People having immunotherapy or other continuing antibody treatments for cancer</w:t>
      </w:r>
    </w:p>
    <w:p w:rsidR="007618F7" w:rsidRPr="00183AD0" w:rsidRDefault="007618F7" w:rsidP="007618F7">
      <w:pPr>
        <w:pStyle w:val="FootnoteText"/>
        <w:numPr>
          <w:ilvl w:val="0"/>
          <w:numId w:val="6"/>
        </w:numPr>
        <w:rPr>
          <w:sz w:val="14"/>
          <w:szCs w:val="14"/>
        </w:rPr>
      </w:pPr>
      <w:r w:rsidRPr="00183AD0">
        <w:rPr>
          <w:sz w:val="14"/>
          <w:szCs w:val="14"/>
        </w:rPr>
        <w:t>People having other targeted cancer treatments which can affect the immune system, such as protein kinase inhibitors or PARP inhibitors.</w:t>
      </w:r>
    </w:p>
    <w:p w:rsidR="007618F7" w:rsidRPr="00E91C0B" w:rsidRDefault="007618F7" w:rsidP="007618F7">
      <w:pPr>
        <w:pStyle w:val="FootnoteText"/>
        <w:numPr>
          <w:ilvl w:val="0"/>
          <w:numId w:val="6"/>
        </w:numPr>
        <w:rPr>
          <w:sz w:val="16"/>
          <w:szCs w:val="16"/>
        </w:rPr>
      </w:pPr>
      <w:r w:rsidRPr="00183AD0">
        <w:rPr>
          <w:sz w:val="14"/>
          <w:szCs w:val="14"/>
        </w:rPr>
        <w:t>People who have had bone marrow or stem cell transplants in the last 6 months, or who are still taking immunosuppression drugs.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744"/>
    <w:multiLevelType w:val="hybridMultilevel"/>
    <w:tmpl w:val="A40273B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797E4E"/>
    <w:multiLevelType w:val="hybridMultilevel"/>
    <w:tmpl w:val="906E45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045008"/>
    <w:multiLevelType w:val="hybridMultilevel"/>
    <w:tmpl w:val="03B0D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537D4"/>
    <w:multiLevelType w:val="hybridMultilevel"/>
    <w:tmpl w:val="21D68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5F6AB9"/>
    <w:multiLevelType w:val="hybridMultilevel"/>
    <w:tmpl w:val="180288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EA26D6"/>
    <w:multiLevelType w:val="hybridMultilevel"/>
    <w:tmpl w:val="BDFCDD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E47B1"/>
    <w:multiLevelType w:val="hybridMultilevel"/>
    <w:tmpl w:val="326E2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534FFC"/>
    <w:multiLevelType w:val="hybridMultilevel"/>
    <w:tmpl w:val="7DB0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87263"/>
    <w:multiLevelType w:val="hybridMultilevel"/>
    <w:tmpl w:val="B2E8E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27D54"/>
    <w:multiLevelType w:val="hybridMultilevel"/>
    <w:tmpl w:val="F1AACD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1E38A1"/>
    <w:multiLevelType w:val="hybridMultilevel"/>
    <w:tmpl w:val="4F76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FE3802"/>
    <w:multiLevelType w:val="hybridMultilevel"/>
    <w:tmpl w:val="E04430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95438"/>
    <w:multiLevelType w:val="hybridMultilevel"/>
    <w:tmpl w:val="694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547D94"/>
    <w:multiLevelType w:val="hybridMultilevel"/>
    <w:tmpl w:val="BF18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401D2"/>
    <w:multiLevelType w:val="hybridMultilevel"/>
    <w:tmpl w:val="011E13F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96C86"/>
    <w:multiLevelType w:val="hybridMultilevel"/>
    <w:tmpl w:val="19DC8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3"/>
  </w:num>
  <w:num w:numId="4">
    <w:abstractNumId w:val="14"/>
  </w:num>
  <w:num w:numId="5">
    <w:abstractNumId w:val="10"/>
  </w:num>
  <w:num w:numId="6">
    <w:abstractNumId w:val="12"/>
  </w:num>
  <w:num w:numId="7">
    <w:abstractNumId w:val="0"/>
  </w:num>
  <w:num w:numId="8">
    <w:abstractNumId w:val="2"/>
  </w:num>
  <w:num w:numId="9">
    <w:abstractNumId w:val="5"/>
  </w:num>
  <w:num w:numId="10">
    <w:abstractNumId w:val="1"/>
  </w:num>
  <w:num w:numId="11">
    <w:abstractNumId w:val="4"/>
  </w:num>
  <w:num w:numId="12">
    <w:abstractNumId w:val="3"/>
  </w:num>
  <w:num w:numId="13">
    <w:abstractNumId w:val="11"/>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63"/>
    <w:rsid w:val="000968CD"/>
    <w:rsid w:val="00183AD0"/>
    <w:rsid w:val="00274278"/>
    <w:rsid w:val="00277E63"/>
    <w:rsid w:val="002C5B06"/>
    <w:rsid w:val="002D7E1A"/>
    <w:rsid w:val="00310DC2"/>
    <w:rsid w:val="00355A41"/>
    <w:rsid w:val="003A6433"/>
    <w:rsid w:val="004606B2"/>
    <w:rsid w:val="004900C7"/>
    <w:rsid w:val="0049434F"/>
    <w:rsid w:val="004A6391"/>
    <w:rsid w:val="004D1841"/>
    <w:rsid w:val="00530719"/>
    <w:rsid w:val="00543B69"/>
    <w:rsid w:val="00630321"/>
    <w:rsid w:val="00664C26"/>
    <w:rsid w:val="00761612"/>
    <w:rsid w:val="007618F7"/>
    <w:rsid w:val="00797D35"/>
    <w:rsid w:val="007A3355"/>
    <w:rsid w:val="00837D88"/>
    <w:rsid w:val="008647FC"/>
    <w:rsid w:val="009A2214"/>
    <w:rsid w:val="00A02C1A"/>
    <w:rsid w:val="00A4550B"/>
    <w:rsid w:val="00A75A42"/>
    <w:rsid w:val="00A94072"/>
    <w:rsid w:val="00AE0CD7"/>
    <w:rsid w:val="00BB3FB3"/>
    <w:rsid w:val="00BF1641"/>
    <w:rsid w:val="00C21077"/>
    <w:rsid w:val="00C21E99"/>
    <w:rsid w:val="00CA3D31"/>
    <w:rsid w:val="00CF1F3D"/>
    <w:rsid w:val="00D06B90"/>
    <w:rsid w:val="00DB4F92"/>
    <w:rsid w:val="00E24530"/>
    <w:rsid w:val="00E91C0B"/>
    <w:rsid w:val="00EB3258"/>
    <w:rsid w:val="00EE0CE3"/>
    <w:rsid w:val="00EE6274"/>
    <w:rsid w:val="00F37D3B"/>
    <w:rsid w:val="00F62A6D"/>
    <w:rsid w:val="00F926AC"/>
    <w:rsid w:val="00FB00C5"/>
    <w:rsid w:val="00FB02AB"/>
    <w:rsid w:val="00FB37E3"/>
    <w:rsid w:val="00FD72A6"/>
    <w:rsid w:val="00FE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CF5F-E781-482C-AE4A-74AA43A1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72"/>
    <w:pPr>
      <w:ind w:left="720"/>
      <w:contextualSpacing/>
    </w:pPr>
  </w:style>
  <w:style w:type="paragraph" w:styleId="FootnoteText">
    <w:name w:val="footnote text"/>
    <w:basedOn w:val="Normal"/>
    <w:link w:val="FootnoteTextChar"/>
    <w:uiPriority w:val="99"/>
    <w:semiHidden/>
    <w:unhideWhenUsed/>
    <w:rsid w:val="00761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8F7"/>
    <w:rPr>
      <w:sz w:val="20"/>
      <w:szCs w:val="20"/>
    </w:rPr>
  </w:style>
  <w:style w:type="character" w:styleId="FootnoteReference">
    <w:name w:val="footnote reference"/>
    <w:basedOn w:val="DefaultParagraphFont"/>
    <w:uiPriority w:val="99"/>
    <w:semiHidden/>
    <w:unhideWhenUsed/>
    <w:rsid w:val="007618F7"/>
    <w:rPr>
      <w:vertAlign w:val="superscript"/>
    </w:rPr>
  </w:style>
  <w:style w:type="table" w:styleId="TableGrid">
    <w:name w:val="Table Grid"/>
    <w:basedOn w:val="TableNormal"/>
    <w:uiPriority w:val="39"/>
    <w:rsid w:val="0009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FB3"/>
    <w:rPr>
      <w:color w:val="0563C1" w:themeColor="hyperlink"/>
      <w:u w:val="single"/>
    </w:rPr>
  </w:style>
  <w:style w:type="character" w:styleId="FollowedHyperlink">
    <w:name w:val="FollowedHyperlink"/>
    <w:basedOn w:val="DefaultParagraphFont"/>
    <w:uiPriority w:val="99"/>
    <w:semiHidden/>
    <w:unhideWhenUsed/>
    <w:rsid w:val="00FB37E3"/>
    <w:rPr>
      <w:color w:val="954F72" w:themeColor="followedHyperlink"/>
      <w:u w:val="single"/>
    </w:rPr>
  </w:style>
  <w:style w:type="character" w:customStyle="1" w:styleId="UnresolvedMention1">
    <w:name w:val="Unresolved Mention1"/>
    <w:basedOn w:val="DefaultParagraphFont"/>
    <w:uiPriority w:val="99"/>
    <w:semiHidden/>
    <w:unhideWhenUsed/>
    <w:rsid w:val="00E91C0B"/>
    <w:rPr>
      <w:color w:val="605E5C"/>
      <w:shd w:val="clear" w:color="auto" w:fill="E1DFDD"/>
    </w:rPr>
  </w:style>
  <w:style w:type="paragraph" w:styleId="BalloonText">
    <w:name w:val="Balloon Text"/>
    <w:basedOn w:val="Normal"/>
    <w:link w:val="BalloonTextChar"/>
    <w:uiPriority w:val="99"/>
    <w:semiHidden/>
    <w:unhideWhenUsed/>
    <w:rsid w:val="00C21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0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lothian.scot.nhs.uk/COVID-19/PatientManagement/Documents/Hospital%20Anticipatory%20Care%20Plan%20-%20for%20use%20in%20ALL%20admissions%20during%20COVID%2019%20Pandemic%2024%20%20March%20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s.org.uk/sites/default/files/content/attachment/2018-07-05/rockwood_cfs.pdf" TargetMode="External"/><Relationship Id="rId5" Type="http://schemas.openxmlformats.org/officeDocument/2006/relationships/webSettings" Target="webSettings.xml"/><Relationship Id="rId10" Type="http://schemas.openxmlformats.org/officeDocument/2006/relationships/hyperlink" Target="http://intranet.lothian.scot.nhs.uk/Directory/Pages/default.aspx" TargetMode="External"/><Relationship Id="rId4" Type="http://schemas.openxmlformats.org/officeDocument/2006/relationships/settings" Target="settings.xml"/><Relationship Id="rId9" Type="http://schemas.openxmlformats.org/officeDocument/2006/relationships/hyperlink" Target="https://www.bgs.org.uk/sites/default/files/content/attachment/2018-07-05/rockwood_cf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D29B-662F-4B81-919D-1BCCAD92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5314</Characters>
  <Application>Microsoft Office Word</Application>
  <DocSecurity>0</DocSecurity>
  <Lines>1328</Lines>
  <Paragraphs>945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Morton</dc:creator>
  <cp:lastModifiedBy>Alan Manning</cp:lastModifiedBy>
  <cp:revision>2</cp:revision>
  <cp:lastPrinted>2020-04-02T18:31:00Z</cp:lastPrinted>
  <dcterms:created xsi:type="dcterms:W3CDTF">2020-05-18T11:52:00Z</dcterms:created>
  <dcterms:modified xsi:type="dcterms:W3CDTF">2020-05-18T11:52:00Z</dcterms:modified>
</cp:coreProperties>
</file>