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513" w:rsidRPr="00DA6513" w:rsidRDefault="00475513" w:rsidP="00475513">
      <w:pPr>
        <w:jc w:val="center"/>
        <w:rPr>
          <w:rFonts w:asciiTheme="majorHAnsi" w:hAnsiTheme="majorHAnsi" w:cs="Arial"/>
          <w:b/>
          <w:u w:val="single"/>
        </w:rPr>
      </w:pPr>
      <w:r w:rsidRPr="00DA6513">
        <w:rPr>
          <w:rFonts w:asciiTheme="majorHAnsi" w:hAnsiTheme="majorHAnsi" w:cs="Arial"/>
          <w:b/>
          <w:u w:val="single"/>
        </w:rPr>
        <w:t>Clinical work across the Interface</w:t>
      </w:r>
    </w:p>
    <w:p w:rsidR="00475513" w:rsidRPr="00DA6513" w:rsidRDefault="00475513" w:rsidP="00475513">
      <w:pPr>
        <w:rPr>
          <w:rFonts w:asciiTheme="majorHAnsi" w:hAnsiTheme="majorHAnsi" w:cs="Arial"/>
          <w:color w:val="000000" w:themeColor="text1"/>
        </w:rPr>
      </w:pPr>
      <w:r w:rsidRPr="00DA6513">
        <w:rPr>
          <w:rFonts w:asciiTheme="majorHAnsi" w:hAnsiTheme="majorHAnsi" w:cs="Arial"/>
          <w:color w:val="000000" w:themeColor="text1"/>
        </w:rPr>
        <w:t>The NHS is under immense, and some may argue unsustainable, pressure. Both sides of the clinical interface are experiencing unprecedented levels of demand, the causes of which are multifactorial but include higher than ever level</w:t>
      </w:r>
      <w:r>
        <w:rPr>
          <w:rFonts w:asciiTheme="majorHAnsi" w:hAnsiTheme="majorHAnsi" w:cs="Arial"/>
          <w:color w:val="000000" w:themeColor="text1"/>
        </w:rPr>
        <w:t>s</w:t>
      </w:r>
      <w:r w:rsidRPr="00DA6513">
        <w:rPr>
          <w:rFonts w:asciiTheme="majorHAnsi" w:hAnsiTheme="majorHAnsi" w:cs="Arial"/>
          <w:color w:val="000000" w:themeColor="text1"/>
        </w:rPr>
        <w:t xml:space="preserve"> of patient expectation; an extensive clinical backlog that still lingers from the coronavirus pandemic; and current fiscal restrictions. The importance of interface relations, efficiency and communication has never b</w:t>
      </w:r>
      <w:r>
        <w:rPr>
          <w:rFonts w:asciiTheme="majorHAnsi" w:hAnsiTheme="majorHAnsi" w:cs="Arial"/>
          <w:color w:val="000000" w:themeColor="text1"/>
        </w:rPr>
        <w:t>een more vital. This document attempts</w:t>
      </w:r>
      <w:r w:rsidRPr="00DA6513">
        <w:rPr>
          <w:rFonts w:asciiTheme="majorHAnsi" w:hAnsiTheme="majorHAnsi" w:cs="Arial"/>
          <w:color w:val="000000" w:themeColor="text1"/>
        </w:rPr>
        <w:t xml:space="preserve"> to capture some key parts of interface work</w:t>
      </w:r>
      <w:r>
        <w:rPr>
          <w:rFonts w:asciiTheme="majorHAnsi" w:hAnsiTheme="majorHAnsi" w:cs="Arial"/>
          <w:color w:val="000000" w:themeColor="text1"/>
        </w:rPr>
        <w:t>ing</w:t>
      </w:r>
      <w:r w:rsidRPr="00DA6513">
        <w:rPr>
          <w:rFonts w:asciiTheme="majorHAnsi" w:hAnsiTheme="majorHAnsi" w:cs="Arial"/>
          <w:color w:val="000000" w:themeColor="text1"/>
        </w:rPr>
        <w:t xml:space="preserve">, so ensuring professionals are working </w:t>
      </w:r>
      <w:r>
        <w:rPr>
          <w:rFonts w:asciiTheme="majorHAnsi" w:hAnsiTheme="majorHAnsi" w:cs="Arial"/>
          <w:color w:val="000000" w:themeColor="text1"/>
        </w:rPr>
        <w:t>effectively</w:t>
      </w:r>
      <w:r w:rsidRPr="00DA6513">
        <w:rPr>
          <w:rFonts w:asciiTheme="majorHAnsi" w:hAnsiTheme="majorHAnsi" w:cs="Arial"/>
          <w:color w:val="000000" w:themeColor="text1"/>
        </w:rPr>
        <w:t xml:space="preserve"> (but still within) their competencies</w:t>
      </w:r>
      <w:r>
        <w:rPr>
          <w:rFonts w:asciiTheme="majorHAnsi" w:hAnsiTheme="majorHAnsi" w:cs="Arial"/>
          <w:color w:val="000000" w:themeColor="text1"/>
        </w:rPr>
        <w:t xml:space="preserve">. It aims to </w:t>
      </w:r>
      <w:r w:rsidRPr="00DA6513">
        <w:rPr>
          <w:rFonts w:asciiTheme="majorHAnsi" w:hAnsiTheme="majorHAnsi" w:cs="Arial"/>
          <w:color w:val="000000" w:themeColor="text1"/>
        </w:rPr>
        <w:t>increas</w:t>
      </w:r>
      <w:r>
        <w:rPr>
          <w:rFonts w:asciiTheme="majorHAnsi" w:hAnsiTheme="majorHAnsi" w:cs="Arial"/>
          <w:color w:val="000000" w:themeColor="text1"/>
        </w:rPr>
        <w:t>e</w:t>
      </w:r>
      <w:r w:rsidRPr="00DA6513">
        <w:rPr>
          <w:rFonts w:asciiTheme="majorHAnsi" w:hAnsiTheme="majorHAnsi" w:cs="Arial"/>
          <w:color w:val="000000" w:themeColor="text1"/>
        </w:rPr>
        <w:t xml:space="preserve"> efficiency and avoid duplication, </w:t>
      </w:r>
      <w:r>
        <w:rPr>
          <w:rFonts w:asciiTheme="majorHAnsi" w:hAnsiTheme="majorHAnsi" w:cs="Arial"/>
          <w:color w:val="000000" w:themeColor="text1"/>
        </w:rPr>
        <w:t>so promoting</w:t>
      </w:r>
      <w:r w:rsidRPr="00DA6513">
        <w:rPr>
          <w:rFonts w:asciiTheme="majorHAnsi" w:hAnsiTheme="majorHAnsi" w:cs="Arial"/>
          <w:color w:val="000000" w:themeColor="text1"/>
        </w:rPr>
        <w:t xml:space="preserve"> patient care and safety as paramount.</w:t>
      </w:r>
    </w:p>
    <w:p w:rsidR="00475513" w:rsidRDefault="00475513" w:rsidP="00475513">
      <w:pPr>
        <w:rPr>
          <w:rFonts w:asciiTheme="majorHAnsi" w:hAnsiTheme="majorHAnsi" w:cs="Arial"/>
          <w:color w:val="000000" w:themeColor="text1"/>
        </w:rPr>
      </w:pPr>
      <w:r>
        <w:rPr>
          <w:rFonts w:asciiTheme="majorHAnsi" w:hAnsiTheme="majorHAnsi" w:cs="Arial"/>
          <w:color w:val="000000" w:themeColor="text1"/>
        </w:rPr>
        <w:t xml:space="preserve">We are all aware of the growing evidence of burnout amongst GPs and </w:t>
      </w:r>
      <w:r w:rsidR="00564D86">
        <w:rPr>
          <w:rFonts w:asciiTheme="majorHAnsi" w:hAnsiTheme="majorHAnsi" w:cs="Arial"/>
          <w:color w:val="000000" w:themeColor="text1"/>
        </w:rPr>
        <w:t>hospital doctors</w:t>
      </w:r>
      <w:r>
        <w:rPr>
          <w:rFonts w:asciiTheme="majorHAnsi" w:hAnsiTheme="majorHAnsi" w:cs="Arial"/>
          <w:color w:val="000000" w:themeColor="text1"/>
        </w:rPr>
        <w:t xml:space="preserve"> due to excessive workload </w:t>
      </w:r>
      <w:r w:rsidR="00564D86">
        <w:rPr>
          <w:rFonts w:asciiTheme="majorHAnsi" w:hAnsiTheme="majorHAnsi" w:cs="Arial"/>
          <w:color w:val="000000" w:themeColor="text1"/>
        </w:rPr>
        <w:t>with</w:t>
      </w:r>
      <w:r>
        <w:rPr>
          <w:rFonts w:asciiTheme="majorHAnsi" w:hAnsiTheme="majorHAnsi" w:cs="Arial"/>
          <w:color w:val="000000" w:themeColor="text1"/>
        </w:rPr>
        <w:t xml:space="preserve"> the loss of doctors from across the spectrum to careers abroad and outside of the NHS. This is clearly a difficult environment for everyone, and we hope this document will help promote resilience by helping to support effectiveness across the interface. </w:t>
      </w:r>
    </w:p>
    <w:p w:rsidR="00037881" w:rsidRDefault="00475513" w:rsidP="00037881">
      <w:pPr>
        <w:rPr>
          <w:rFonts w:asciiTheme="majorHAnsi" w:hAnsiTheme="majorHAnsi" w:cs="Arial"/>
          <w:b/>
        </w:rPr>
      </w:pPr>
      <w:r w:rsidRPr="00DA6513">
        <w:rPr>
          <w:rFonts w:asciiTheme="majorHAnsi" w:hAnsiTheme="majorHAnsi" w:cs="Arial"/>
          <w:color w:val="000000" w:themeColor="text1"/>
        </w:rPr>
        <w:t>Following consultation</w:t>
      </w:r>
      <w:r>
        <w:rPr>
          <w:rFonts w:asciiTheme="majorHAnsi" w:hAnsiTheme="majorHAnsi" w:cs="Arial"/>
          <w:color w:val="000000" w:themeColor="text1"/>
        </w:rPr>
        <w:t xml:space="preserve"> with colleagues across primary and secondary care, </w:t>
      </w:r>
      <w:r w:rsidR="00564D86">
        <w:rPr>
          <w:rFonts w:asciiTheme="majorHAnsi" w:hAnsiTheme="majorHAnsi" w:cs="Arial"/>
          <w:color w:val="000000" w:themeColor="text1"/>
        </w:rPr>
        <w:t>w</w:t>
      </w:r>
      <w:r>
        <w:rPr>
          <w:rFonts w:asciiTheme="majorHAnsi" w:hAnsiTheme="majorHAnsi" w:cs="Arial"/>
          <w:color w:val="000000" w:themeColor="text1"/>
        </w:rPr>
        <w:t xml:space="preserve">e have produced the following guidance to </w:t>
      </w:r>
      <w:r w:rsidR="00564D86">
        <w:rPr>
          <w:rFonts w:asciiTheme="majorHAnsi" w:hAnsiTheme="majorHAnsi" w:cs="Arial"/>
          <w:color w:val="000000" w:themeColor="text1"/>
        </w:rPr>
        <w:t xml:space="preserve">assist </w:t>
      </w:r>
      <w:r>
        <w:rPr>
          <w:rFonts w:asciiTheme="majorHAnsi" w:hAnsiTheme="majorHAnsi" w:cs="Arial"/>
          <w:color w:val="000000" w:themeColor="text1"/>
        </w:rPr>
        <w:t>doctors to work within their competencies</w:t>
      </w:r>
      <w:r w:rsidR="007C0D64">
        <w:rPr>
          <w:rFonts w:asciiTheme="majorHAnsi" w:hAnsiTheme="majorHAnsi" w:cs="Arial"/>
          <w:color w:val="000000" w:themeColor="text1"/>
        </w:rPr>
        <w:t xml:space="preserve"> and contract,</w:t>
      </w:r>
      <w:r w:rsidR="00016783">
        <w:rPr>
          <w:rFonts w:asciiTheme="majorHAnsi" w:hAnsiTheme="majorHAnsi" w:cs="Arial"/>
          <w:color w:val="000000" w:themeColor="text1"/>
        </w:rPr>
        <w:t xml:space="preserve"> </w:t>
      </w:r>
      <w:r w:rsidR="00037881">
        <w:rPr>
          <w:rFonts w:asciiTheme="majorHAnsi" w:hAnsiTheme="majorHAnsi" w:cs="Arial"/>
          <w:color w:val="000000" w:themeColor="text1"/>
        </w:rPr>
        <w:t>and support each other by following the guidance recommended in “Good Medical Practice.”</w:t>
      </w:r>
      <w:r w:rsidRPr="00DA6513">
        <w:rPr>
          <w:rFonts w:asciiTheme="majorHAnsi" w:hAnsiTheme="majorHAnsi" w:cs="Arial"/>
          <w:color w:val="000000" w:themeColor="text1"/>
        </w:rPr>
        <w:t xml:space="preserve"> </w:t>
      </w:r>
    </w:p>
    <w:p w:rsidR="00164263" w:rsidRDefault="00475513">
      <w:pPr>
        <w:rPr>
          <w:rFonts w:asciiTheme="majorHAnsi" w:hAnsiTheme="majorHAnsi" w:cs="Arial"/>
          <w:b/>
        </w:rPr>
      </w:pPr>
      <w:r w:rsidRPr="00DA6513">
        <w:rPr>
          <w:rFonts w:asciiTheme="majorHAnsi" w:hAnsiTheme="majorHAnsi" w:cs="Arial"/>
          <w:b/>
        </w:rPr>
        <w:t>As advised by the BMA</w:t>
      </w:r>
      <w:r>
        <w:rPr>
          <w:rFonts w:asciiTheme="majorHAnsi" w:hAnsiTheme="majorHAnsi" w:cs="Arial"/>
          <w:b/>
        </w:rPr>
        <w:t xml:space="preserve"> and recommended as Good Medical P</w:t>
      </w:r>
      <w:r w:rsidRPr="00DA6513">
        <w:rPr>
          <w:rFonts w:asciiTheme="majorHAnsi" w:hAnsiTheme="majorHAnsi" w:cs="Arial"/>
          <w:b/>
        </w:rPr>
        <w:t xml:space="preserve">ractice by the GMC, those who request the test or deem the test necessary, should </w:t>
      </w:r>
      <w:r>
        <w:rPr>
          <w:rFonts w:asciiTheme="majorHAnsi" w:hAnsiTheme="majorHAnsi" w:cs="Arial"/>
          <w:b/>
        </w:rPr>
        <w:t xml:space="preserve">maintain responsibility over results handling </w:t>
      </w:r>
      <w:r w:rsidRPr="00DA6513">
        <w:rPr>
          <w:rFonts w:asciiTheme="majorHAnsi" w:hAnsiTheme="majorHAnsi" w:cs="Arial"/>
          <w:b/>
        </w:rPr>
        <w:t>and subsequent</w:t>
      </w:r>
      <w:r>
        <w:rPr>
          <w:rFonts w:asciiTheme="majorHAnsi" w:hAnsiTheme="majorHAnsi" w:cs="Arial"/>
          <w:b/>
        </w:rPr>
        <w:t xml:space="preserve"> management. Duty of care</w:t>
      </w:r>
      <w:r w:rsidRPr="00DA6513">
        <w:rPr>
          <w:rFonts w:asciiTheme="majorHAnsi" w:hAnsiTheme="majorHAnsi" w:cs="Arial"/>
          <w:b/>
        </w:rPr>
        <w:t xml:space="preserve"> lies with the requesting physician to communicate results to the patient. Secondar</w:t>
      </w:r>
      <w:r>
        <w:rPr>
          <w:rFonts w:asciiTheme="majorHAnsi" w:hAnsiTheme="majorHAnsi" w:cs="Arial"/>
          <w:b/>
        </w:rPr>
        <w:t xml:space="preserve">y care may offer </w:t>
      </w:r>
      <w:r w:rsidRPr="00DA6513">
        <w:rPr>
          <w:rFonts w:asciiTheme="majorHAnsi" w:hAnsiTheme="majorHAnsi" w:cs="Arial"/>
          <w:b/>
        </w:rPr>
        <w:t xml:space="preserve">recommendations to primary care for further investigations </w:t>
      </w:r>
      <w:r>
        <w:rPr>
          <w:rFonts w:asciiTheme="majorHAnsi" w:hAnsiTheme="majorHAnsi" w:cs="Arial"/>
          <w:b/>
        </w:rPr>
        <w:t xml:space="preserve">or </w:t>
      </w:r>
      <w:r w:rsidRPr="00DA6513">
        <w:rPr>
          <w:rFonts w:asciiTheme="majorHAnsi" w:hAnsiTheme="majorHAnsi" w:cs="Arial"/>
          <w:b/>
        </w:rPr>
        <w:t>monitoring for patients who are currently manage</w:t>
      </w:r>
      <w:r>
        <w:rPr>
          <w:rFonts w:asciiTheme="majorHAnsi" w:hAnsiTheme="majorHAnsi" w:cs="Arial"/>
          <w:b/>
        </w:rPr>
        <w:t>d in primary care, following which</w:t>
      </w:r>
      <w:r w:rsidRPr="00DA6513">
        <w:rPr>
          <w:rFonts w:asciiTheme="majorHAnsi" w:hAnsiTheme="majorHAnsi" w:cs="Arial"/>
          <w:b/>
        </w:rPr>
        <w:t xml:space="preserve"> the responsibility for choosing to do those investigations and </w:t>
      </w:r>
      <w:r>
        <w:rPr>
          <w:rFonts w:asciiTheme="majorHAnsi" w:hAnsiTheme="majorHAnsi" w:cs="Arial"/>
          <w:b/>
        </w:rPr>
        <w:t>results handling resides</w:t>
      </w:r>
      <w:r w:rsidRPr="00DA6513">
        <w:rPr>
          <w:rFonts w:asciiTheme="majorHAnsi" w:hAnsiTheme="majorHAnsi" w:cs="Arial"/>
          <w:b/>
        </w:rPr>
        <w:t xml:space="preserve"> in primary care.</w:t>
      </w:r>
      <w:r w:rsidR="00037881">
        <w:rPr>
          <w:rFonts w:asciiTheme="majorHAnsi" w:hAnsiTheme="majorHAnsi" w:cs="Arial"/>
          <w:b/>
        </w:rPr>
        <w:t xml:space="preserve"> </w:t>
      </w:r>
    </w:p>
    <w:p w:rsidR="00475513" w:rsidRPr="00DA6513" w:rsidRDefault="00CE52C0" w:rsidP="00475513">
      <w:pPr>
        <w:rPr>
          <w:rFonts w:asciiTheme="majorHAnsi" w:hAnsiTheme="majorHAnsi" w:cs="Arial"/>
          <w:b/>
        </w:rPr>
      </w:pPr>
      <w:hyperlink r:id="rId6" w:history="1">
        <w:r w:rsidR="00475513" w:rsidRPr="00DA6513">
          <w:rPr>
            <w:rStyle w:val="Hyperlink"/>
            <w:rFonts w:asciiTheme="majorHAnsi" w:hAnsiTheme="majorHAnsi" w:cs="Arial"/>
            <w:b/>
          </w:rPr>
          <w:t>https://www.bma.org.uk/advice-and-support/gp-practices/communication-with-patients/duty-of-care-when-test-results-and-drugs-are-ordered-by-secondary-care</w:t>
        </w:r>
      </w:hyperlink>
      <w:r w:rsidR="00475513" w:rsidRPr="00DA6513">
        <w:rPr>
          <w:rFonts w:asciiTheme="majorHAnsi" w:hAnsiTheme="majorHAnsi" w:cs="Arial"/>
          <w:b/>
        </w:rPr>
        <w:t xml:space="preserve"> </w:t>
      </w:r>
    </w:p>
    <w:p w:rsidR="00475513" w:rsidRPr="00DA6513" w:rsidRDefault="00CE52C0" w:rsidP="00475513">
      <w:pPr>
        <w:rPr>
          <w:rFonts w:asciiTheme="majorHAnsi" w:hAnsiTheme="majorHAnsi" w:cs="Arial"/>
          <w:b/>
        </w:rPr>
      </w:pPr>
      <w:hyperlink r:id="rId7" w:history="1">
        <w:r w:rsidR="00475513" w:rsidRPr="00DA6513">
          <w:rPr>
            <w:rStyle w:val="Hyperlink"/>
            <w:rFonts w:asciiTheme="majorHAnsi" w:hAnsiTheme="majorHAnsi" w:cs="Arial"/>
            <w:b/>
          </w:rPr>
          <w:t>https://www.gmc-uk.org/ethical-guidance/ethical-guidance-for-doctors/good-medical-practice</w:t>
        </w:r>
      </w:hyperlink>
      <w:r w:rsidR="00475513" w:rsidRPr="00DA6513">
        <w:rPr>
          <w:rFonts w:asciiTheme="majorHAnsi" w:hAnsiTheme="majorHAnsi" w:cs="Arial"/>
          <w:b/>
        </w:rPr>
        <w:t xml:space="preserve"> </w:t>
      </w:r>
    </w:p>
    <w:p w:rsidR="00475513" w:rsidRPr="00037881" w:rsidRDefault="0097055A" w:rsidP="00672504">
      <w:pPr>
        <w:pStyle w:val="ListParagraph"/>
        <w:numPr>
          <w:ilvl w:val="0"/>
          <w:numId w:val="2"/>
        </w:numPr>
        <w:rPr>
          <w:rFonts w:asciiTheme="majorHAnsi" w:hAnsiTheme="majorHAnsi" w:cs="Arial"/>
          <w:bCs/>
        </w:rPr>
      </w:pPr>
      <w:r w:rsidRPr="0097055A">
        <w:rPr>
          <w:rFonts w:asciiTheme="majorHAnsi" w:hAnsiTheme="majorHAnsi" w:cs="Arial"/>
          <w:bCs/>
        </w:rPr>
        <w:t>Phlebotomy required by secondary care for the ongoing management of a patient under speciality care, must remain the responsibility of secondary care (including those</w:t>
      </w:r>
      <w:r w:rsidR="00CC5E9C">
        <w:rPr>
          <w:rFonts w:asciiTheme="majorHAnsi" w:hAnsiTheme="majorHAnsi" w:cs="Arial"/>
          <w:bCs/>
        </w:rPr>
        <w:t xml:space="preserve"> that</w:t>
      </w:r>
      <w:r w:rsidRPr="0097055A">
        <w:rPr>
          <w:rFonts w:asciiTheme="majorHAnsi" w:hAnsiTheme="majorHAnsi" w:cs="Arial"/>
          <w:bCs/>
        </w:rPr>
        <w:t xml:space="preserve"> pre-pandemic would have been undertaken in face to face OPD appointments). These should take place either in monitoring clinics or out-patient clinics unless there is an agreed arrangement </w:t>
      </w:r>
      <w:r w:rsidR="00CC5E9C">
        <w:rPr>
          <w:rFonts w:asciiTheme="majorHAnsi" w:hAnsiTheme="majorHAnsi" w:cs="Arial"/>
          <w:bCs/>
        </w:rPr>
        <w:t>such as</w:t>
      </w:r>
      <w:r w:rsidRPr="0097055A">
        <w:rPr>
          <w:rFonts w:asciiTheme="majorHAnsi" w:hAnsiTheme="majorHAnsi" w:cs="Arial"/>
          <w:bCs/>
        </w:rPr>
        <w:t xml:space="preserve"> SACT and pre-chemo bloods (see further details below)</w:t>
      </w:r>
    </w:p>
    <w:p w:rsidR="00475513" w:rsidRPr="00DA6513" w:rsidRDefault="00475513" w:rsidP="00475513">
      <w:pPr>
        <w:rPr>
          <w:rFonts w:asciiTheme="majorHAnsi" w:hAnsiTheme="majorHAnsi" w:cs="Arial"/>
        </w:rPr>
      </w:pPr>
      <w:r w:rsidRPr="00AD6293">
        <w:rPr>
          <w:rFonts w:asciiTheme="majorHAnsi" w:hAnsiTheme="majorHAnsi" w:cs="Arial"/>
        </w:rPr>
        <w:t>(</w:t>
      </w:r>
      <w:r w:rsidRPr="00DA6513">
        <w:rPr>
          <w:rFonts w:asciiTheme="majorHAnsi" w:hAnsiTheme="majorHAnsi" w:cs="Arial"/>
        </w:rPr>
        <w:t>Please refer to the “Blood tests across the interface” document previously issued by the Lothian Interface Group (LIG)</w:t>
      </w:r>
      <w:r w:rsidRPr="00DA6513">
        <w:rPr>
          <w:rFonts w:asciiTheme="majorHAnsi" w:hAnsiTheme="majorHAnsi" w:cs="Arial"/>
          <w:u w:val="single"/>
        </w:rPr>
        <w:t xml:space="preserve"> </w:t>
      </w:r>
      <w:hyperlink r:id="rId8" w:history="1">
        <w:r w:rsidRPr="00DA6513">
          <w:rPr>
            <w:rStyle w:val="Hyperlink"/>
            <w:rFonts w:asciiTheme="majorHAnsi" w:hAnsiTheme="majorHAnsi" w:cs="Arial"/>
          </w:rPr>
          <w:t>http://intranet.lothian.scot.nhs.uk/Directory/lothianinterfacegroup/Pages/default.aspx</w:t>
        </w:r>
      </w:hyperlink>
      <w:r w:rsidRPr="00DA6513">
        <w:rPr>
          <w:rFonts w:asciiTheme="majorHAnsi" w:hAnsiTheme="majorHAnsi" w:cs="Arial"/>
        </w:rPr>
        <w:t xml:space="preserve"> )</w:t>
      </w:r>
    </w:p>
    <w:p w:rsidR="00475513" w:rsidRPr="00DA6513" w:rsidRDefault="00475513" w:rsidP="00475513">
      <w:pPr>
        <w:rPr>
          <w:rFonts w:asciiTheme="majorHAnsi" w:hAnsiTheme="majorHAnsi" w:cs="Arial"/>
        </w:rPr>
      </w:pPr>
      <w:r w:rsidRPr="00DA6513">
        <w:rPr>
          <w:rFonts w:asciiTheme="majorHAnsi" w:hAnsiTheme="majorHAnsi" w:cs="Arial"/>
        </w:rPr>
        <w:t xml:space="preserve">General practice must continue to honour agreed phlebotomy work of which there </w:t>
      </w:r>
      <w:r w:rsidR="007C0D64">
        <w:rPr>
          <w:rFonts w:asciiTheme="majorHAnsi" w:hAnsiTheme="majorHAnsi" w:cs="Arial"/>
        </w:rPr>
        <w:t>are</w:t>
      </w:r>
      <w:r w:rsidRPr="00DA6513">
        <w:rPr>
          <w:rFonts w:asciiTheme="majorHAnsi" w:hAnsiTheme="majorHAnsi" w:cs="Arial"/>
        </w:rPr>
        <w:t xml:space="preserve"> some</w:t>
      </w:r>
      <w:r>
        <w:rPr>
          <w:rFonts w:asciiTheme="majorHAnsi" w:hAnsiTheme="majorHAnsi" w:cs="Arial"/>
        </w:rPr>
        <w:t xml:space="preserve"> 47,000</w:t>
      </w:r>
      <w:r w:rsidRPr="00DA6513">
        <w:rPr>
          <w:rFonts w:asciiTheme="majorHAnsi" w:hAnsiTheme="majorHAnsi" w:cs="Arial"/>
        </w:rPr>
        <w:t xml:space="preserve"> bloods tests undertaken each year</w:t>
      </w:r>
      <w:r>
        <w:rPr>
          <w:rFonts w:asciiTheme="majorHAnsi" w:hAnsiTheme="majorHAnsi" w:cs="Arial"/>
        </w:rPr>
        <w:t xml:space="preserve"> (an increase from 36, 000 in 2019)</w:t>
      </w:r>
      <w:r w:rsidRPr="00DA6513">
        <w:rPr>
          <w:rFonts w:asciiTheme="majorHAnsi" w:hAnsiTheme="majorHAnsi" w:cs="Arial"/>
        </w:rPr>
        <w:t>. Th</w:t>
      </w:r>
      <w:r>
        <w:rPr>
          <w:rFonts w:asciiTheme="majorHAnsi" w:hAnsiTheme="majorHAnsi" w:cs="Arial"/>
        </w:rPr>
        <w:t>o</w:t>
      </w:r>
      <w:r w:rsidRPr="00DA6513">
        <w:rPr>
          <w:rFonts w:asciiTheme="majorHAnsi" w:hAnsiTheme="majorHAnsi" w:cs="Arial"/>
        </w:rPr>
        <w:t xml:space="preserve">se that have been agreed with </w:t>
      </w:r>
      <w:r>
        <w:rPr>
          <w:rFonts w:asciiTheme="majorHAnsi" w:hAnsiTheme="majorHAnsi" w:cs="Arial"/>
        </w:rPr>
        <w:t xml:space="preserve">the </w:t>
      </w:r>
      <w:r w:rsidRPr="00DA6513">
        <w:rPr>
          <w:rFonts w:asciiTheme="majorHAnsi" w:hAnsiTheme="majorHAnsi" w:cs="Arial"/>
        </w:rPr>
        <w:t>GP</w:t>
      </w:r>
      <w:r>
        <w:rPr>
          <w:rFonts w:asciiTheme="majorHAnsi" w:hAnsiTheme="majorHAnsi" w:cs="Arial"/>
        </w:rPr>
        <w:t xml:space="preserve"> </w:t>
      </w:r>
      <w:r w:rsidRPr="00DA6513">
        <w:rPr>
          <w:rFonts w:asciiTheme="majorHAnsi" w:hAnsiTheme="majorHAnsi" w:cs="Arial"/>
        </w:rPr>
        <w:t xml:space="preserve">Subcommittee include pre-chemotherapy </w:t>
      </w:r>
      <w:r w:rsidR="00564D86">
        <w:rPr>
          <w:rFonts w:asciiTheme="majorHAnsi" w:hAnsiTheme="majorHAnsi" w:cs="Arial"/>
        </w:rPr>
        <w:t>or</w:t>
      </w:r>
      <w:r w:rsidRPr="00DA6513">
        <w:rPr>
          <w:rFonts w:asciiTheme="majorHAnsi" w:hAnsiTheme="majorHAnsi" w:cs="Arial"/>
        </w:rPr>
        <w:t xml:space="preserve"> SACT bloods. Other agreements exist including those that are part of the phlebotomy enhanced service and shared care agreements. Whilst we recognise phlebotomy services closer to home will </w:t>
      </w:r>
      <w:r w:rsidR="00037881">
        <w:rPr>
          <w:rFonts w:asciiTheme="majorHAnsi" w:hAnsiTheme="majorHAnsi" w:cs="Arial"/>
        </w:rPr>
        <w:t>often</w:t>
      </w:r>
      <w:r w:rsidRPr="00DA6513">
        <w:rPr>
          <w:rFonts w:asciiTheme="majorHAnsi" w:hAnsiTheme="majorHAnsi" w:cs="Arial"/>
        </w:rPr>
        <w:t xml:space="preserve"> be</w:t>
      </w:r>
      <w:r w:rsidR="00037881">
        <w:rPr>
          <w:rFonts w:asciiTheme="majorHAnsi" w:hAnsiTheme="majorHAnsi" w:cs="Arial"/>
        </w:rPr>
        <w:t xml:space="preserve"> the</w:t>
      </w:r>
      <w:r w:rsidRPr="00DA6513">
        <w:rPr>
          <w:rFonts w:asciiTheme="majorHAnsi" w:hAnsiTheme="majorHAnsi" w:cs="Arial"/>
        </w:rPr>
        <w:t xml:space="preserve"> patient</w:t>
      </w:r>
      <w:r w:rsidR="00037881">
        <w:rPr>
          <w:rFonts w:asciiTheme="majorHAnsi" w:hAnsiTheme="majorHAnsi" w:cs="Arial"/>
        </w:rPr>
        <w:t>’s</w:t>
      </w:r>
      <w:r w:rsidRPr="00DA6513">
        <w:rPr>
          <w:rFonts w:asciiTheme="majorHAnsi" w:hAnsiTheme="majorHAnsi" w:cs="Arial"/>
        </w:rPr>
        <w:t xml:space="preserve"> </w:t>
      </w:r>
      <w:r w:rsidRPr="00037881">
        <w:rPr>
          <w:rFonts w:asciiTheme="majorHAnsi" w:hAnsiTheme="majorHAnsi" w:cs="Arial"/>
        </w:rPr>
        <w:t xml:space="preserve">preference and indeed aligns with many gold standard ideologies including the green agenda, </w:t>
      </w:r>
      <w:r w:rsidR="0097055A" w:rsidRPr="0097055A">
        <w:rPr>
          <w:rFonts w:asciiTheme="majorHAnsi" w:hAnsiTheme="majorHAnsi" w:cs="Arial"/>
        </w:rPr>
        <w:t xml:space="preserve">we are all working within resource poor environments where services for the sake of </w:t>
      </w:r>
      <w:r w:rsidR="00564D86">
        <w:rPr>
          <w:rFonts w:asciiTheme="majorHAnsi" w:hAnsiTheme="majorHAnsi" w:cs="Arial"/>
        </w:rPr>
        <w:t>the wider patient population</w:t>
      </w:r>
      <w:r w:rsidR="0097055A" w:rsidRPr="0097055A">
        <w:rPr>
          <w:rFonts w:asciiTheme="majorHAnsi" w:hAnsiTheme="majorHAnsi" w:cs="Arial"/>
        </w:rPr>
        <w:t xml:space="preserve"> must be protected.</w:t>
      </w:r>
      <w:r w:rsidRPr="00DA6513">
        <w:rPr>
          <w:rFonts w:asciiTheme="majorHAnsi" w:hAnsiTheme="majorHAnsi" w:cs="Arial"/>
        </w:rPr>
        <w:t xml:space="preserve"> </w:t>
      </w:r>
      <w:r w:rsidR="00037881" w:rsidRPr="00DA6513">
        <w:rPr>
          <w:rFonts w:asciiTheme="majorHAnsi" w:hAnsiTheme="majorHAnsi" w:cs="Arial"/>
        </w:rPr>
        <w:t>Ultimately,</w:t>
      </w:r>
      <w:r w:rsidRPr="00DA6513">
        <w:rPr>
          <w:rFonts w:asciiTheme="majorHAnsi" w:hAnsiTheme="majorHAnsi" w:cs="Arial"/>
        </w:rPr>
        <w:t xml:space="preserve"> we must all strive for greater</w:t>
      </w:r>
      <w:r>
        <w:rPr>
          <w:rFonts w:asciiTheme="majorHAnsi" w:hAnsiTheme="majorHAnsi" w:cs="Arial"/>
        </w:rPr>
        <w:t xml:space="preserve"> phlebotomy</w:t>
      </w:r>
      <w:r w:rsidRPr="00DA6513">
        <w:rPr>
          <w:rFonts w:asciiTheme="majorHAnsi" w:hAnsiTheme="majorHAnsi" w:cs="Arial"/>
        </w:rPr>
        <w:t xml:space="preserve"> resourcing </w:t>
      </w:r>
      <w:r>
        <w:rPr>
          <w:rFonts w:asciiTheme="majorHAnsi" w:hAnsiTheme="majorHAnsi" w:cs="Arial"/>
        </w:rPr>
        <w:t>and prioritisation</w:t>
      </w:r>
      <w:r w:rsidRPr="00DA6513">
        <w:rPr>
          <w:rFonts w:asciiTheme="majorHAnsi" w:hAnsiTheme="majorHAnsi" w:cs="Arial"/>
        </w:rPr>
        <w:t xml:space="preserve"> given the </w:t>
      </w:r>
      <w:r w:rsidR="00037881" w:rsidRPr="00DA6513">
        <w:rPr>
          <w:rFonts w:asciiTheme="majorHAnsi" w:hAnsiTheme="majorHAnsi" w:cs="Arial"/>
        </w:rPr>
        <w:t>ever-increasing</w:t>
      </w:r>
      <w:r w:rsidRPr="00DA6513">
        <w:rPr>
          <w:rFonts w:asciiTheme="majorHAnsi" w:hAnsiTheme="majorHAnsi" w:cs="Arial"/>
        </w:rPr>
        <w:t xml:space="preserve"> </w:t>
      </w:r>
      <w:r w:rsidRPr="00DA6513">
        <w:rPr>
          <w:rFonts w:asciiTheme="majorHAnsi" w:hAnsiTheme="majorHAnsi" w:cs="Arial"/>
        </w:rPr>
        <w:lastRenderedPageBreak/>
        <w:t>dependence on this</w:t>
      </w:r>
      <w:r>
        <w:rPr>
          <w:rFonts w:asciiTheme="majorHAnsi" w:hAnsiTheme="majorHAnsi" w:cs="Arial"/>
        </w:rPr>
        <w:t xml:space="preserve"> service</w:t>
      </w:r>
      <w:r w:rsidRPr="00DA6513">
        <w:rPr>
          <w:rFonts w:asciiTheme="majorHAnsi" w:hAnsiTheme="majorHAnsi" w:cs="Arial"/>
        </w:rPr>
        <w:t xml:space="preserve"> and the evolving nature of the medications we are prescribing. There is a</w:t>
      </w:r>
      <w:r>
        <w:rPr>
          <w:rFonts w:asciiTheme="majorHAnsi" w:hAnsiTheme="majorHAnsi" w:cs="Arial"/>
        </w:rPr>
        <w:t xml:space="preserve"> Lothian</w:t>
      </w:r>
      <w:r w:rsidRPr="00DA6513">
        <w:rPr>
          <w:rFonts w:asciiTheme="majorHAnsi" w:hAnsiTheme="majorHAnsi" w:cs="Arial"/>
        </w:rPr>
        <w:t xml:space="preserve"> vision to create phleboto</w:t>
      </w:r>
      <w:r>
        <w:rPr>
          <w:rFonts w:asciiTheme="majorHAnsi" w:hAnsiTheme="majorHAnsi" w:cs="Arial"/>
        </w:rPr>
        <w:t>my community hubs</w:t>
      </w:r>
      <w:r w:rsidRPr="00DA6513">
        <w:rPr>
          <w:rFonts w:asciiTheme="majorHAnsi" w:hAnsiTheme="majorHAnsi" w:cs="Arial"/>
        </w:rPr>
        <w:t>, bu</w:t>
      </w:r>
      <w:r>
        <w:rPr>
          <w:rFonts w:asciiTheme="majorHAnsi" w:hAnsiTheme="majorHAnsi" w:cs="Arial"/>
        </w:rPr>
        <w:t>t these are far from realised</w:t>
      </w:r>
      <w:r w:rsidRPr="00DA6513">
        <w:rPr>
          <w:rFonts w:asciiTheme="majorHAnsi" w:hAnsiTheme="majorHAnsi" w:cs="Arial"/>
        </w:rPr>
        <w:t xml:space="preserve"> and i</w:t>
      </w:r>
      <w:r>
        <w:rPr>
          <w:rFonts w:asciiTheme="majorHAnsi" w:hAnsiTheme="majorHAnsi" w:cs="Arial"/>
        </w:rPr>
        <w:t>ndeed CTACS remain hampered by</w:t>
      </w:r>
      <w:r w:rsidRPr="00DA6513">
        <w:rPr>
          <w:rFonts w:asciiTheme="majorHAnsi" w:hAnsiTheme="majorHAnsi" w:cs="Arial"/>
        </w:rPr>
        <w:t xml:space="preserve"> a lack of funding and de-prioritisation. </w:t>
      </w:r>
      <w:r w:rsidR="00910AA4">
        <w:rPr>
          <w:rFonts w:asciiTheme="majorHAnsi" w:hAnsiTheme="majorHAnsi" w:cs="Arial"/>
        </w:rPr>
        <w:t xml:space="preserve">Monitoring clinics serving a number of acute specialties continue to run and have capacity. </w:t>
      </w:r>
    </w:p>
    <w:p w:rsidR="00475513" w:rsidRDefault="00475513" w:rsidP="00475513">
      <w:pPr>
        <w:rPr>
          <w:rFonts w:asciiTheme="majorHAnsi" w:hAnsiTheme="majorHAnsi" w:cs="Arial"/>
        </w:rPr>
      </w:pPr>
      <w:r w:rsidRPr="00DA6513">
        <w:rPr>
          <w:rFonts w:asciiTheme="majorHAnsi" w:hAnsiTheme="majorHAnsi" w:cs="Arial"/>
        </w:rPr>
        <w:t>The following list has been compiled from practice feedback</w:t>
      </w:r>
      <w:r>
        <w:rPr>
          <w:rFonts w:asciiTheme="majorHAnsi" w:hAnsiTheme="majorHAnsi" w:cs="Arial"/>
        </w:rPr>
        <w:t xml:space="preserve"> of what GPs are asked to do </w:t>
      </w:r>
      <w:proofErr w:type="spellStart"/>
      <w:r>
        <w:rPr>
          <w:rFonts w:asciiTheme="majorHAnsi" w:hAnsiTheme="majorHAnsi" w:cs="Arial"/>
        </w:rPr>
        <w:t>outwith</w:t>
      </w:r>
      <w:proofErr w:type="spellEnd"/>
      <w:r>
        <w:rPr>
          <w:rFonts w:asciiTheme="majorHAnsi" w:hAnsiTheme="majorHAnsi" w:cs="Arial"/>
        </w:rPr>
        <w:t xml:space="preserve"> Lothian agreements</w:t>
      </w:r>
      <w:r w:rsidRPr="00DA6513">
        <w:rPr>
          <w:rFonts w:asciiTheme="majorHAnsi" w:hAnsiTheme="majorHAnsi" w:cs="Arial"/>
        </w:rPr>
        <w:t xml:space="preserve"> and includes </w:t>
      </w:r>
      <w:r>
        <w:rPr>
          <w:rFonts w:asciiTheme="majorHAnsi" w:hAnsiTheme="majorHAnsi" w:cs="Arial"/>
        </w:rPr>
        <w:t>both common and very rare</w:t>
      </w:r>
      <w:r w:rsidRPr="00DA6513">
        <w:rPr>
          <w:rFonts w:asciiTheme="majorHAnsi" w:hAnsiTheme="majorHAnsi" w:cs="Arial"/>
        </w:rPr>
        <w:t xml:space="preserve"> work</w:t>
      </w:r>
      <w:r w:rsidR="00037881">
        <w:rPr>
          <w:rFonts w:asciiTheme="majorHAnsi" w:hAnsiTheme="majorHAnsi" w:cs="Arial"/>
        </w:rPr>
        <w:t>.</w:t>
      </w:r>
      <w:r w:rsidRPr="00DA6513">
        <w:rPr>
          <w:rFonts w:asciiTheme="majorHAnsi" w:hAnsiTheme="majorHAnsi" w:cs="Arial"/>
        </w:rPr>
        <w:t xml:space="preserve"> As outlined above, for patient safety and clinical competency reasons, as well as resource restrictions, the boundaries within which workload and clinical responsibility lies</w:t>
      </w:r>
      <w:r>
        <w:rPr>
          <w:rFonts w:asciiTheme="majorHAnsi" w:hAnsiTheme="majorHAnsi" w:cs="Arial"/>
        </w:rPr>
        <w:t xml:space="preserve"> is described here</w:t>
      </w:r>
      <w:r w:rsidRPr="00DA6513">
        <w:rPr>
          <w:rFonts w:asciiTheme="majorHAnsi" w:hAnsiTheme="majorHAnsi" w:cs="Arial"/>
        </w:rPr>
        <w:t>:</w:t>
      </w:r>
    </w:p>
    <w:p w:rsidR="00CA532C" w:rsidRDefault="00CA532C" w:rsidP="00475513">
      <w:pPr>
        <w:rPr>
          <w:rFonts w:asciiTheme="majorHAnsi" w:hAnsiTheme="majorHAnsi" w:cs="Arial"/>
          <w:bCs/>
        </w:rPr>
      </w:pPr>
      <w:r>
        <w:rPr>
          <w:rFonts w:asciiTheme="majorHAnsi" w:hAnsiTheme="majorHAnsi" w:cs="Arial"/>
          <w:b/>
          <w:u w:val="single"/>
        </w:rPr>
        <w:t>Investigations required prior to referral.</w:t>
      </w:r>
    </w:p>
    <w:p w:rsidR="00CA532C" w:rsidRPr="00CA532C" w:rsidRDefault="00CA532C" w:rsidP="00475513">
      <w:pPr>
        <w:rPr>
          <w:rFonts w:asciiTheme="majorHAnsi" w:hAnsiTheme="majorHAnsi" w:cs="Arial"/>
          <w:bCs/>
        </w:rPr>
      </w:pPr>
      <w:r>
        <w:rPr>
          <w:rFonts w:asciiTheme="majorHAnsi" w:hAnsiTheme="majorHAnsi" w:cs="Arial"/>
          <w:bCs/>
        </w:rPr>
        <w:t xml:space="preserve">These should be undertaken </w:t>
      </w:r>
      <w:r w:rsidR="00910AA4">
        <w:rPr>
          <w:rFonts w:asciiTheme="majorHAnsi" w:hAnsiTheme="majorHAnsi" w:cs="Arial"/>
          <w:bCs/>
        </w:rPr>
        <w:t>by the referring clinician</w:t>
      </w:r>
      <w:r>
        <w:rPr>
          <w:rFonts w:asciiTheme="majorHAnsi" w:hAnsiTheme="majorHAnsi" w:cs="Arial"/>
          <w:bCs/>
        </w:rPr>
        <w:t xml:space="preserve"> using the guidance on </w:t>
      </w:r>
      <w:proofErr w:type="spellStart"/>
      <w:r>
        <w:rPr>
          <w:rFonts w:asciiTheme="majorHAnsi" w:hAnsiTheme="majorHAnsi" w:cs="Arial"/>
          <w:bCs/>
        </w:rPr>
        <w:t>RefHelp</w:t>
      </w:r>
      <w:proofErr w:type="spellEnd"/>
      <w:r>
        <w:rPr>
          <w:rFonts w:asciiTheme="majorHAnsi" w:hAnsiTheme="majorHAnsi" w:cs="Arial"/>
          <w:bCs/>
        </w:rPr>
        <w:t xml:space="preserve">. In exceptional circumstances where this is deemed not possible or might lead to patient harm due to delay it is expected that the referring clinician would contact the specialty involved to inform them of the reasons for this. </w:t>
      </w:r>
    </w:p>
    <w:p w:rsidR="00475513" w:rsidRPr="00DA6513" w:rsidRDefault="00475513" w:rsidP="00475513">
      <w:pPr>
        <w:rPr>
          <w:rFonts w:asciiTheme="majorHAnsi" w:hAnsiTheme="majorHAnsi" w:cs="Arial"/>
          <w:b/>
          <w:u w:val="single"/>
        </w:rPr>
      </w:pPr>
      <w:r w:rsidRPr="00DA6513">
        <w:rPr>
          <w:rFonts w:asciiTheme="majorHAnsi" w:hAnsiTheme="majorHAnsi" w:cs="Arial"/>
          <w:b/>
          <w:u w:val="single"/>
        </w:rPr>
        <w:t>Monitoring (including phlebotomy) ONLY undertaken by speciality services</w:t>
      </w:r>
    </w:p>
    <w:p w:rsidR="00475513" w:rsidRPr="00037881" w:rsidRDefault="0097055A" w:rsidP="00475513">
      <w:pPr>
        <w:rPr>
          <w:rFonts w:asciiTheme="majorHAnsi" w:hAnsiTheme="majorHAnsi" w:cs="Arial"/>
          <w:bCs/>
        </w:rPr>
      </w:pPr>
      <w:r w:rsidRPr="0097055A">
        <w:rPr>
          <w:rFonts w:asciiTheme="majorHAnsi" w:hAnsiTheme="majorHAnsi" w:cs="Arial"/>
          <w:bCs/>
        </w:rPr>
        <w:t>In these following circumstances general practice may be advised to prescribe on behalf of secondary care.  However, the monitoring and clinical decision to prescribe, has been agreed to remain the responsibility of secondary care specialities.</w:t>
      </w:r>
    </w:p>
    <w:tbl>
      <w:tblPr>
        <w:tblStyle w:val="TableGrid"/>
        <w:tblW w:w="0" w:type="auto"/>
        <w:tblLook w:val="04A0"/>
      </w:tblPr>
      <w:tblGrid>
        <w:gridCol w:w="3539"/>
        <w:gridCol w:w="5477"/>
      </w:tblGrid>
      <w:tr w:rsidR="00475513" w:rsidTr="00164263">
        <w:tc>
          <w:tcPr>
            <w:tcW w:w="3539" w:type="dxa"/>
          </w:tcPr>
          <w:p w:rsidR="00475513" w:rsidRPr="00CA700C" w:rsidRDefault="00475513" w:rsidP="00164263">
            <w:pPr>
              <w:rPr>
                <w:rFonts w:asciiTheme="majorHAnsi" w:hAnsiTheme="majorHAnsi" w:cs="Arial"/>
                <w:b/>
              </w:rPr>
            </w:pPr>
            <w:r>
              <w:rPr>
                <w:rFonts w:asciiTheme="majorHAnsi" w:hAnsiTheme="majorHAnsi" w:cs="Arial"/>
                <w:b/>
              </w:rPr>
              <w:t>SPECIALITY</w:t>
            </w:r>
          </w:p>
        </w:tc>
        <w:tc>
          <w:tcPr>
            <w:tcW w:w="5477" w:type="dxa"/>
          </w:tcPr>
          <w:p w:rsidR="00475513" w:rsidRDefault="00475513" w:rsidP="00164263">
            <w:pPr>
              <w:rPr>
                <w:rFonts w:asciiTheme="majorHAnsi" w:hAnsiTheme="majorHAnsi" w:cs="Arial"/>
                <w:b/>
              </w:rPr>
            </w:pPr>
          </w:p>
        </w:tc>
      </w:tr>
      <w:tr w:rsidR="00475513" w:rsidTr="00164263">
        <w:tc>
          <w:tcPr>
            <w:tcW w:w="3539" w:type="dxa"/>
          </w:tcPr>
          <w:p w:rsidR="00475513" w:rsidRPr="00CA700C" w:rsidRDefault="00475513" w:rsidP="00164263">
            <w:pPr>
              <w:rPr>
                <w:rFonts w:asciiTheme="majorHAnsi" w:hAnsiTheme="majorHAnsi" w:cs="Arial"/>
              </w:rPr>
            </w:pPr>
            <w:r>
              <w:rPr>
                <w:rFonts w:asciiTheme="majorHAnsi" w:hAnsiTheme="majorHAnsi" w:cs="Arial"/>
              </w:rPr>
              <w:t>Psychiatry</w:t>
            </w:r>
          </w:p>
        </w:tc>
        <w:tc>
          <w:tcPr>
            <w:tcW w:w="5477" w:type="dxa"/>
          </w:tcPr>
          <w:p w:rsidR="00475513" w:rsidRPr="00CA700C" w:rsidRDefault="00475513" w:rsidP="00164263">
            <w:pPr>
              <w:rPr>
                <w:rFonts w:asciiTheme="majorHAnsi" w:hAnsiTheme="majorHAnsi" w:cs="Arial"/>
              </w:rPr>
            </w:pPr>
            <w:r w:rsidRPr="00CA700C">
              <w:rPr>
                <w:rFonts w:asciiTheme="majorHAnsi" w:hAnsiTheme="majorHAnsi" w:cs="Arial"/>
              </w:rPr>
              <w:t>Antipsychotic monitoring (including ECG)</w:t>
            </w:r>
          </w:p>
          <w:p w:rsidR="00475513" w:rsidRPr="00CA700C" w:rsidRDefault="00475513" w:rsidP="00164263">
            <w:pPr>
              <w:rPr>
                <w:rFonts w:asciiTheme="majorHAnsi" w:hAnsiTheme="majorHAnsi" w:cs="Arial"/>
              </w:rPr>
            </w:pPr>
            <w:r w:rsidRPr="00CA700C">
              <w:rPr>
                <w:rFonts w:asciiTheme="majorHAnsi" w:hAnsiTheme="majorHAnsi" w:cs="Arial"/>
              </w:rPr>
              <w:t>ADHD medication monitoring</w:t>
            </w:r>
          </w:p>
          <w:p w:rsidR="00475513" w:rsidRPr="00CA700C" w:rsidRDefault="00475513" w:rsidP="00164263">
            <w:pPr>
              <w:rPr>
                <w:rFonts w:asciiTheme="majorHAnsi" w:hAnsiTheme="majorHAnsi" w:cs="Arial"/>
              </w:rPr>
            </w:pPr>
            <w:r w:rsidRPr="00CA700C">
              <w:rPr>
                <w:rFonts w:asciiTheme="majorHAnsi" w:hAnsiTheme="majorHAnsi" w:cs="Arial"/>
              </w:rPr>
              <w:t>Phlebotomy pending CAMHS allocation</w:t>
            </w:r>
          </w:p>
          <w:p w:rsidR="00475513" w:rsidRPr="00CA700C" w:rsidRDefault="00475513" w:rsidP="00164263">
            <w:pPr>
              <w:rPr>
                <w:rFonts w:asciiTheme="majorHAnsi" w:hAnsiTheme="majorHAnsi" w:cs="Arial"/>
              </w:rPr>
            </w:pPr>
            <w:r w:rsidRPr="00CA700C">
              <w:rPr>
                <w:rFonts w:asciiTheme="majorHAnsi" w:hAnsiTheme="majorHAnsi" w:cs="Arial"/>
              </w:rPr>
              <w:t>Patients referred for Eating Disorders, pending assessment or as part of ongoing assessment</w:t>
            </w:r>
          </w:p>
        </w:tc>
      </w:tr>
      <w:tr w:rsidR="00475513" w:rsidTr="00164263">
        <w:tc>
          <w:tcPr>
            <w:tcW w:w="3539" w:type="dxa"/>
          </w:tcPr>
          <w:p w:rsidR="00475513" w:rsidRPr="00CA700C" w:rsidRDefault="00475513" w:rsidP="00164263">
            <w:pPr>
              <w:rPr>
                <w:rFonts w:asciiTheme="majorHAnsi" w:hAnsiTheme="majorHAnsi" w:cs="Arial"/>
              </w:rPr>
            </w:pPr>
            <w:r w:rsidRPr="00CA700C">
              <w:rPr>
                <w:rFonts w:asciiTheme="majorHAnsi" w:hAnsiTheme="majorHAnsi" w:cs="Arial"/>
              </w:rPr>
              <w:t>Dermatology</w:t>
            </w:r>
          </w:p>
        </w:tc>
        <w:tc>
          <w:tcPr>
            <w:tcW w:w="5477" w:type="dxa"/>
          </w:tcPr>
          <w:p w:rsidR="00475513" w:rsidRPr="00CA700C" w:rsidRDefault="00475513" w:rsidP="00164263">
            <w:pPr>
              <w:rPr>
                <w:rFonts w:asciiTheme="majorHAnsi" w:hAnsiTheme="majorHAnsi" w:cs="Arial"/>
              </w:rPr>
            </w:pPr>
            <w:r>
              <w:rPr>
                <w:rFonts w:asciiTheme="majorHAnsi" w:hAnsiTheme="majorHAnsi" w:cs="Arial"/>
              </w:rPr>
              <w:t>Roaccutane monitoring</w:t>
            </w:r>
          </w:p>
        </w:tc>
      </w:tr>
      <w:tr w:rsidR="00475513" w:rsidTr="00164263">
        <w:tc>
          <w:tcPr>
            <w:tcW w:w="3539" w:type="dxa"/>
          </w:tcPr>
          <w:p w:rsidR="00475513" w:rsidRPr="00CA700C" w:rsidRDefault="00475513" w:rsidP="00164263">
            <w:pPr>
              <w:rPr>
                <w:rFonts w:asciiTheme="majorHAnsi" w:hAnsiTheme="majorHAnsi" w:cs="Arial"/>
              </w:rPr>
            </w:pPr>
            <w:r>
              <w:rPr>
                <w:rFonts w:asciiTheme="majorHAnsi" w:hAnsiTheme="majorHAnsi" w:cs="Arial"/>
              </w:rPr>
              <w:t>Bariatric surgery</w:t>
            </w:r>
          </w:p>
        </w:tc>
        <w:tc>
          <w:tcPr>
            <w:tcW w:w="5477" w:type="dxa"/>
          </w:tcPr>
          <w:p w:rsidR="00475513" w:rsidRPr="00CA700C" w:rsidRDefault="00475513" w:rsidP="00164263">
            <w:pPr>
              <w:rPr>
                <w:rFonts w:asciiTheme="majorHAnsi" w:hAnsiTheme="majorHAnsi" w:cs="Arial"/>
              </w:rPr>
            </w:pPr>
            <w:r>
              <w:rPr>
                <w:rFonts w:asciiTheme="majorHAnsi" w:hAnsiTheme="majorHAnsi" w:cs="Arial"/>
              </w:rPr>
              <w:t xml:space="preserve">Phlebotomy following bariatric surgery </w:t>
            </w:r>
            <w:r w:rsidR="00240897">
              <w:rPr>
                <w:rFonts w:asciiTheme="majorHAnsi" w:hAnsiTheme="majorHAnsi" w:cs="Arial"/>
              </w:rPr>
              <w:t xml:space="preserve">under the NHS is the responsibility of the specialty team. Where the patient has received surgery privately or abroad, patients should be directed to a private provider for suitable follow up. </w:t>
            </w:r>
          </w:p>
        </w:tc>
      </w:tr>
      <w:tr w:rsidR="00475513" w:rsidTr="00164263">
        <w:tc>
          <w:tcPr>
            <w:tcW w:w="3539" w:type="dxa"/>
          </w:tcPr>
          <w:p w:rsidR="00475513" w:rsidRPr="00CA700C" w:rsidRDefault="00475513" w:rsidP="00164263">
            <w:pPr>
              <w:rPr>
                <w:rFonts w:asciiTheme="majorHAnsi" w:hAnsiTheme="majorHAnsi" w:cs="Arial"/>
              </w:rPr>
            </w:pPr>
            <w:r>
              <w:rPr>
                <w:rFonts w:asciiTheme="majorHAnsi" w:hAnsiTheme="majorHAnsi" w:cs="Arial"/>
              </w:rPr>
              <w:t>Urology</w:t>
            </w:r>
          </w:p>
        </w:tc>
        <w:tc>
          <w:tcPr>
            <w:tcW w:w="5477" w:type="dxa"/>
          </w:tcPr>
          <w:p w:rsidR="00D66310" w:rsidRDefault="00475513" w:rsidP="00164263">
            <w:pPr>
              <w:rPr>
                <w:rFonts w:asciiTheme="majorHAnsi" w:hAnsiTheme="majorHAnsi" w:cs="Arial"/>
              </w:rPr>
            </w:pPr>
            <w:r>
              <w:rPr>
                <w:rFonts w:asciiTheme="majorHAnsi" w:hAnsiTheme="majorHAnsi" w:cs="Arial"/>
              </w:rPr>
              <w:t>PSA monitoring post prostatectomy</w:t>
            </w:r>
            <w:r w:rsidR="00D66310">
              <w:rPr>
                <w:rFonts w:asciiTheme="majorHAnsi" w:hAnsiTheme="majorHAnsi" w:cs="Arial"/>
              </w:rPr>
              <w:t xml:space="preserve"> for prostate cancer so that it aligns with Oncology monitoring of PSA in patients treated in other ways for prostate cancer</w:t>
            </w:r>
            <w:r w:rsidR="00037881">
              <w:rPr>
                <w:rFonts w:asciiTheme="majorHAnsi" w:hAnsiTheme="majorHAnsi" w:cs="Arial"/>
              </w:rPr>
              <w:t xml:space="preserve">. </w:t>
            </w:r>
          </w:p>
          <w:p w:rsidR="00475513" w:rsidRPr="00CA700C" w:rsidRDefault="00910AA4" w:rsidP="00164263">
            <w:pPr>
              <w:rPr>
                <w:rFonts w:asciiTheme="majorHAnsi" w:hAnsiTheme="majorHAnsi" w:cs="Arial"/>
              </w:rPr>
            </w:pPr>
            <w:r>
              <w:rPr>
                <w:rFonts w:asciiTheme="majorHAnsi" w:hAnsiTheme="majorHAnsi" w:cs="Arial"/>
              </w:rPr>
              <w:t>Urology have developed a</w:t>
            </w:r>
            <w:r w:rsidR="00037881">
              <w:rPr>
                <w:rFonts w:asciiTheme="majorHAnsi" w:hAnsiTheme="majorHAnsi" w:cs="Arial"/>
              </w:rPr>
              <w:t xml:space="preserve"> new system for </w:t>
            </w:r>
            <w:r>
              <w:rPr>
                <w:rFonts w:asciiTheme="majorHAnsi" w:hAnsiTheme="majorHAnsi" w:cs="Arial"/>
              </w:rPr>
              <w:t xml:space="preserve">recalling and monitoring </w:t>
            </w:r>
            <w:r w:rsidR="00037881">
              <w:rPr>
                <w:rFonts w:asciiTheme="majorHAnsi" w:hAnsiTheme="majorHAnsi" w:cs="Arial"/>
              </w:rPr>
              <w:t xml:space="preserve"> PSA blood tests </w:t>
            </w:r>
            <w:r>
              <w:rPr>
                <w:rFonts w:asciiTheme="majorHAnsi" w:hAnsiTheme="majorHAnsi" w:cs="Arial"/>
              </w:rPr>
              <w:t xml:space="preserve">post prostatectomy </w:t>
            </w:r>
            <w:r w:rsidR="00037881">
              <w:rPr>
                <w:rFonts w:asciiTheme="majorHAnsi" w:hAnsiTheme="majorHAnsi" w:cs="Arial"/>
              </w:rPr>
              <w:t xml:space="preserve"> </w:t>
            </w:r>
            <w:r w:rsidR="00D66310">
              <w:rPr>
                <w:rFonts w:asciiTheme="majorHAnsi" w:hAnsiTheme="majorHAnsi" w:cs="Arial"/>
              </w:rPr>
              <w:t xml:space="preserve">and acknowledges that clinical responsibility </w:t>
            </w:r>
            <w:r>
              <w:rPr>
                <w:rFonts w:asciiTheme="majorHAnsi" w:hAnsiTheme="majorHAnsi" w:cs="Arial"/>
              </w:rPr>
              <w:t xml:space="preserve">for this </w:t>
            </w:r>
            <w:r w:rsidR="00D66310">
              <w:rPr>
                <w:rFonts w:asciiTheme="majorHAnsi" w:hAnsiTheme="majorHAnsi" w:cs="Arial"/>
              </w:rPr>
              <w:t>lies with</w:t>
            </w:r>
            <w:r>
              <w:rPr>
                <w:rFonts w:asciiTheme="majorHAnsi" w:hAnsiTheme="majorHAnsi" w:cs="Arial"/>
              </w:rPr>
              <w:t xml:space="preserve"> the</w:t>
            </w:r>
            <w:r w:rsidR="00D66310">
              <w:rPr>
                <w:rFonts w:asciiTheme="majorHAnsi" w:hAnsiTheme="majorHAnsi" w:cs="Arial"/>
              </w:rPr>
              <w:t xml:space="preserve"> urology</w:t>
            </w:r>
            <w:r>
              <w:rPr>
                <w:rFonts w:asciiTheme="majorHAnsi" w:hAnsiTheme="majorHAnsi" w:cs="Arial"/>
              </w:rPr>
              <w:t xml:space="preserve"> department</w:t>
            </w:r>
            <w:r w:rsidR="00D66310">
              <w:rPr>
                <w:rFonts w:asciiTheme="majorHAnsi" w:hAnsiTheme="majorHAnsi" w:cs="Arial"/>
              </w:rPr>
              <w:t xml:space="preserve">. </w:t>
            </w:r>
            <w:r w:rsidR="00037881">
              <w:rPr>
                <w:rFonts w:asciiTheme="majorHAnsi" w:hAnsiTheme="majorHAnsi" w:cs="Arial"/>
              </w:rPr>
              <w:t xml:space="preserve"> </w:t>
            </w:r>
            <w:r w:rsidR="00240897">
              <w:rPr>
                <w:rFonts w:asciiTheme="majorHAnsi" w:hAnsiTheme="majorHAnsi" w:cs="Arial"/>
              </w:rPr>
              <w:t xml:space="preserve">If the GP checks a PSA on their own accord they have a responsibility to refer accordingly. Also GPs remain responsible for referring patients who </w:t>
            </w:r>
            <w:r w:rsidR="00240897">
              <w:rPr>
                <w:rFonts w:asciiTheme="majorHAnsi" w:hAnsiTheme="majorHAnsi" w:cs="Arial"/>
              </w:rPr>
              <w:lastRenderedPageBreak/>
              <w:t xml:space="preserve">have had a prostatectomy </w:t>
            </w:r>
            <w:proofErr w:type="spellStart"/>
            <w:r>
              <w:rPr>
                <w:rFonts w:asciiTheme="majorHAnsi" w:hAnsiTheme="majorHAnsi" w:cs="Arial"/>
              </w:rPr>
              <w:t>outwith</w:t>
            </w:r>
            <w:proofErr w:type="spellEnd"/>
            <w:r>
              <w:rPr>
                <w:rFonts w:asciiTheme="majorHAnsi" w:hAnsiTheme="majorHAnsi" w:cs="Arial"/>
              </w:rPr>
              <w:t xml:space="preserve"> Lothian </w:t>
            </w:r>
            <w:r w:rsidR="00240897">
              <w:rPr>
                <w:rFonts w:asciiTheme="majorHAnsi" w:hAnsiTheme="majorHAnsi" w:cs="Arial"/>
              </w:rPr>
              <w:t>into the urology surveillance programme</w:t>
            </w:r>
            <w:r>
              <w:rPr>
                <w:rFonts w:asciiTheme="majorHAnsi" w:hAnsiTheme="majorHAnsi" w:cs="Arial"/>
              </w:rPr>
              <w:t xml:space="preserve"> as appropriate</w:t>
            </w:r>
            <w:r w:rsidR="00240897">
              <w:rPr>
                <w:rFonts w:asciiTheme="majorHAnsi" w:hAnsiTheme="majorHAnsi" w:cs="Arial"/>
              </w:rPr>
              <w:t xml:space="preserve">. </w:t>
            </w:r>
          </w:p>
        </w:tc>
      </w:tr>
      <w:tr w:rsidR="00475513" w:rsidTr="00164263">
        <w:tc>
          <w:tcPr>
            <w:tcW w:w="3539" w:type="dxa"/>
          </w:tcPr>
          <w:p w:rsidR="00475513" w:rsidRPr="00CA700C" w:rsidRDefault="00475513" w:rsidP="00164263">
            <w:pPr>
              <w:rPr>
                <w:rFonts w:asciiTheme="majorHAnsi" w:hAnsiTheme="majorHAnsi" w:cs="Arial"/>
              </w:rPr>
            </w:pPr>
            <w:r>
              <w:rPr>
                <w:rFonts w:asciiTheme="majorHAnsi" w:hAnsiTheme="majorHAnsi" w:cs="Arial"/>
              </w:rPr>
              <w:lastRenderedPageBreak/>
              <w:t>Colorectal</w:t>
            </w:r>
          </w:p>
        </w:tc>
        <w:tc>
          <w:tcPr>
            <w:tcW w:w="5477" w:type="dxa"/>
          </w:tcPr>
          <w:p w:rsidR="00475513" w:rsidRPr="00CA700C" w:rsidRDefault="00475513" w:rsidP="00164263">
            <w:pPr>
              <w:rPr>
                <w:rFonts w:asciiTheme="majorHAnsi" w:hAnsiTheme="majorHAnsi" w:cs="Arial"/>
              </w:rPr>
            </w:pPr>
            <w:r>
              <w:rPr>
                <w:rFonts w:asciiTheme="majorHAnsi" w:hAnsiTheme="majorHAnsi" w:cs="Arial"/>
              </w:rPr>
              <w:t>Phlebotomy prior to colonoscopy following positive bowel screening</w:t>
            </w:r>
            <w:r w:rsidR="001866D1">
              <w:rPr>
                <w:rFonts w:asciiTheme="majorHAnsi" w:hAnsiTheme="majorHAnsi" w:cs="Arial"/>
              </w:rPr>
              <w:t xml:space="preserve">. When patients require phlebotomy prior to test (about 75% of patients already have blood results in the system).  The other 25% are offered phlebotomy </w:t>
            </w:r>
            <w:r w:rsidR="00FD2A1B">
              <w:rPr>
                <w:rFonts w:asciiTheme="majorHAnsi" w:hAnsiTheme="majorHAnsi" w:cs="Arial"/>
              </w:rPr>
              <w:t>in secondary care settings but a small number decline or struggle to access these options so GP will attempt to support these small numbers.</w:t>
            </w:r>
          </w:p>
        </w:tc>
      </w:tr>
      <w:tr w:rsidR="00475513" w:rsidTr="00164263">
        <w:tc>
          <w:tcPr>
            <w:tcW w:w="3539" w:type="dxa"/>
          </w:tcPr>
          <w:p w:rsidR="00475513" w:rsidRPr="00CA700C" w:rsidRDefault="00475513" w:rsidP="00164263">
            <w:pPr>
              <w:rPr>
                <w:rFonts w:asciiTheme="majorHAnsi" w:hAnsiTheme="majorHAnsi" w:cs="Arial"/>
              </w:rPr>
            </w:pPr>
            <w:r>
              <w:rPr>
                <w:rFonts w:asciiTheme="majorHAnsi" w:hAnsiTheme="majorHAnsi" w:cs="Arial"/>
              </w:rPr>
              <w:t>Sexual and Reproductive Health/Genito-Urinary medicine</w:t>
            </w:r>
          </w:p>
        </w:tc>
        <w:tc>
          <w:tcPr>
            <w:tcW w:w="5477" w:type="dxa"/>
          </w:tcPr>
          <w:p w:rsidR="00475513" w:rsidRDefault="00475513" w:rsidP="00164263">
            <w:pPr>
              <w:rPr>
                <w:rFonts w:asciiTheme="majorHAnsi" w:hAnsiTheme="majorHAnsi" w:cs="Arial"/>
              </w:rPr>
            </w:pPr>
            <w:r>
              <w:rPr>
                <w:rFonts w:asciiTheme="majorHAnsi" w:hAnsiTheme="majorHAnsi" w:cs="Arial"/>
              </w:rPr>
              <w:t xml:space="preserve">Testosterone monitoring as part of menopause </w:t>
            </w:r>
            <w:r w:rsidR="00D66310">
              <w:rPr>
                <w:rFonts w:asciiTheme="majorHAnsi" w:hAnsiTheme="majorHAnsi" w:cs="Arial"/>
              </w:rPr>
              <w:t>treatment.</w:t>
            </w:r>
          </w:p>
          <w:p w:rsidR="00475513" w:rsidRPr="00D66310" w:rsidRDefault="00475513" w:rsidP="00164263">
            <w:pPr>
              <w:rPr>
                <w:rFonts w:asciiTheme="majorHAnsi" w:hAnsiTheme="majorHAnsi" w:cs="Arial"/>
              </w:rPr>
            </w:pPr>
            <w:r w:rsidRPr="00D66310">
              <w:rPr>
                <w:rFonts w:asciiTheme="majorHAnsi" w:hAnsiTheme="majorHAnsi" w:cs="Arial"/>
              </w:rPr>
              <w:t xml:space="preserve">Masculinising and feminising hormone therapy </w:t>
            </w:r>
            <w:r w:rsidR="0097055A" w:rsidRPr="0097055A">
              <w:rPr>
                <w:rFonts w:asciiTheme="majorHAnsi" w:hAnsiTheme="majorHAnsi" w:cs="Arial"/>
              </w:rPr>
              <w:t>with the exception of pre-dose testosterone levels where it has been agreed that the GP practice will undertake these</w:t>
            </w:r>
            <w:r w:rsidR="00D66310">
              <w:rPr>
                <w:rFonts w:asciiTheme="majorHAnsi" w:hAnsiTheme="majorHAnsi" w:cs="Arial"/>
              </w:rPr>
              <w:t xml:space="preserve">. </w:t>
            </w:r>
          </w:p>
        </w:tc>
      </w:tr>
      <w:tr w:rsidR="00475513" w:rsidTr="00164263">
        <w:tc>
          <w:tcPr>
            <w:tcW w:w="3539" w:type="dxa"/>
          </w:tcPr>
          <w:p w:rsidR="00475513" w:rsidRPr="00CA700C" w:rsidRDefault="00475513" w:rsidP="00164263">
            <w:pPr>
              <w:rPr>
                <w:rFonts w:asciiTheme="majorHAnsi" w:hAnsiTheme="majorHAnsi" w:cs="Arial"/>
              </w:rPr>
            </w:pPr>
            <w:r>
              <w:rPr>
                <w:rFonts w:asciiTheme="majorHAnsi" w:hAnsiTheme="majorHAnsi" w:cs="Arial"/>
              </w:rPr>
              <w:t>Cardiology</w:t>
            </w:r>
          </w:p>
        </w:tc>
        <w:tc>
          <w:tcPr>
            <w:tcW w:w="5477" w:type="dxa"/>
          </w:tcPr>
          <w:p w:rsidR="00475513" w:rsidRPr="00CA700C" w:rsidRDefault="00475513" w:rsidP="00164263">
            <w:pPr>
              <w:rPr>
                <w:rFonts w:asciiTheme="majorHAnsi" w:hAnsiTheme="majorHAnsi" w:cs="Arial"/>
              </w:rPr>
            </w:pPr>
            <w:proofErr w:type="spellStart"/>
            <w:r>
              <w:rPr>
                <w:rFonts w:asciiTheme="majorHAnsi" w:hAnsiTheme="majorHAnsi" w:cs="Arial"/>
              </w:rPr>
              <w:t>Bosentan</w:t>
            </w:r>
            <w:proofErr w:type="spellEnd"/>
            <w:r>
              <w:rPr>
                <w:rFonts w:asciiTheme="majorHAnsi" w:hAnsiTheme="majorHAnsi" w:cs="Arial"/>
              </w:rPr>
              <w:t xml:space="preserve"> monitoring</w:t>
            </w:r>
          </w:p>
        </w:tc>
      </w:tr>
      <w:tr w:rsidR="00475513" w:rsidTr="00164263">
        <w:tc>
          <w:tcPr>
            <w:tcW w:w="3539" w:type="dxa"/>
          </w:tcPr>
          <w:p w:rsidR="00475513" w:rsidRPr="00CA700C" w:rsidRDefault="00475513" w:rsidP="00164263">
            <w:pPr>
              <w:rPr>
                <w:rFonts w:asciiTheme="majorHAnsi" w:hAnsiTheme="majorHAnsi" w:cs="Arial"/>
              </w:rPr>
            </w:pPr>
            <w:r>
              <w:rPr>
                <w:rFonts w:asciiTheme="majorHAnsi" w:hAnsiTheme="majorHAnsi" w:cs="Arial"/>
              </w:rPr>
              <w:t>Endocrinology</w:t>
            </w:r>
          </w:p>
        </w:tc>
        <w:tc>
          <w:tcPr>
            <w:tcW w:w="5477" w:type="dxa"/>
          </w:tcPr>
          <w:p w:rsidR="00475513" w:rsidRDefault="00475513" w:rsidP="00164263">
            <w:pPr>
              <w:rPr>
                <w:rFonts w:asciiTheme="majorHAnsi" w:hAnsiTheme="majorHAnsi" w:cs="Arial"/>
              </w:rPr>
            </w:pPr>
            <w:r>
              <w:rPr>
                <w:rFonts w:asciiTheme="majorHAnsi" w:hAnsiTheme="majorHAnsi" w:cs="Arial"/>
              </w:rPr>
              <w:t>TFT monitoring for hyperthyroid or thyroid cancer patients</w:t>
            </w:r>
          </w:p>
          <w:p w:rsidR="00475513" w:rsidRPr="00CA700C" w:rsidRDefault="00475513" w:rsidP="00164263">
            <w:pPr>
              <w:rPr>
                <w:rFonts w:asciiTheme="majorHAnsi" w:hAnsiTheme="majorHAnsi" w:cs="Arial"/>
              </w:rPr>
            </w:pPr>
            <w:r>
              <w:rPr>
                <w:rFonts w:asciiTheme="majorHAnsi" w:hAnsiTheme="majorHAnsi" w:cs="Arial"/>
              </w:rPr>
              <w:t>Other hormonal levels required for investigation or treatment (excluding those prior to fertility service referral or early menopause assessment)</w:t>
            </w:r>
          </w:p>
        </w:tc>
      </w:tr>
      <w:tr w:rsidR="00475513" w:rsidTr="00164263">
        <w:tc>
          <w:tcPr>
            <w:tcW w:w="3539" w:type="dxa"/>
          </w:tcPr>
          <w:p w:rsidR="00475513" w:rsidRPr="00CA700C" w:rsidRDefault="00475513" w:rsidP="00164263">
            <w:pPr>
              <w:rPr>
                <w:rFonts w:asciiTheme="majorHAnsi" w:hAnsiTheme="majorHAnsi" w:cs="Arial"/>
              </w:rPr>
            </w:pPr>
            <w:r>
              <w:rPr>
                <w:rFonts w:asciiTheme="majorHAnsi" w:hAnsiTheme="majorHAnsi" w:cs="Arial"/>
              </w:rPr>
              <w:t>Rheumatology</w:t>
            </w:r>
          </w:p>
        </w:tc>
        <w:tc>
          <w:tcPr>
            <w:tcW w:w="5477" w:type="dxa"/>
          </w:tcPr>
          <w:p w:rsidR="00475513" w:rsidRPr="00CA700C" w:rsidRDefault="00475513" w:rsidP="00164263">
            <w:pPr>
              <w:rPr>
                <w:rFonts w:asciiTheme="majorHAnsi" w:hAnsiTheme="majorHAnsi" w:cs="Arial"/>
              </w:rPr>
            </w:pPr>
            <w:r>
              <w:rPr>
                <w:rFonts w:asciiTheme="majorHAnsi" w:hAnsiTheme="majorHAnsi" w:cs="Arial"/>
              </w:rPr>
              <w:t>Baseline bloods prior to IV bisphosphonate infusion</w:t>
            </w:r>
          </w:p>
        </w:tc>
      </w:tr>
      <w:tr w:rsidR="00475513" w:rsidTr="00164263">
        <w:tc>
          <w:tcPr>
            <w:tcW w:w="3539" w:type="dxa"/>
          </w:tcPr>
          <w:p w:rsidR="00475513" w:rsidRPr="00CA700C" w:rsidRDefault="00475513" w:rsidP="00164263">
            <w:pPr>
              <w:rPr>
                <w:rFonts w:asciiTheme="majorHAnsi" w:hAnsiTheme="majorHAnsi" w:cs="Arial"/>
              </w:rPr>
            </w:pPr>
            <w:r>
              <w:rPr>
                <w:rFonts w:asciiTheme="majorHAnsi" w:hAnsiTheme="majorHAnsi" w:cs="Arial"/>
              </w:rPr>
              <w:t>Pregnancy support service</w:t>
            </w:r>
          </w:p>
        </w:tc>
        <w:tc>
          <w:tcPr>
            <w:tcW w:w="5477" w:type="dxa"/>
          </w:tcPr>
          <w:p w:rsidR="00475513" w:rsidRPr="00CA700C" w:rsidRDefault="00475513" w:rsidP="00164263">
            <w:pPr>
              <w:rPr>
                <w:rFonts w:asciiTheme="majorHAnsi" w:hAnsiTheme="majorHAnsi" w:cs="Arial"/>
              </w:rPr>
            </w:pPr>
            <w:r>
              <w:rPr>
                <w:rFonts w:asciiTheme="majorHAnsi" w:hAnsiTheme="majorHAnsi" w:cs="Arial"/>
              </w:rPr>
              <w:t>Serial HCG measurements</w:t>
            </w:r>
          </w:p>
        </w:tc>
      </w:tr>
    </w:tbl>
    <w:p w:rsidR="00475513" w:rsidRDefault="00475513" w:rsidP="00475513">
      <w:pPr>
        <w:rPr>
          <w:rFonts w:asciiTheme="majorHAnsi" w:hAnsiTheme="majorHAnsi" w:cs="Arial"/>
          <w:b/>
        </w:rPr>
      </w:pPr>
    </w:p>
    <w:p w:rsidR="00475513" w:rsidRPr="00DA6513" w:rsidRDefault="00475513" w:rsidP="00475513">
      <w:pPr>
        <w:rPr>
          <w:rFonts w:asciiTheme="majorHAnsi" w:hAnsiTheme="majorHAnsi" w:cs="Arial"/>
          <w:b/>
          <w:u w:val="single"/>
        </w:rPr>
      </w:pPr>
      <w:r w:rsidRPr="00DA6513">
        <w:rPr>
          <w:rFonts w:asciiTheme="majorHAnsi" w:hAnsiTheme="majorHAnsi" w:cs="Arial"/>
          <w:b/>
          <w:u w:val="single"/>
        </w:rPr>
        <w:t>Monitoring AND prescribing undertaken by speciality services</w:t>
      </w:r>
    </w:p>
    <w:p w:rsidR="00475513" w:rsidRDefault="00475513" w:rsidP="00475513">
      <w:pPr>
        <w:rPr>
          <w:rFonts w:asciiTheme="majorHAnsi" w:hAnsiTheme="majorHAnsi" w:cs="Arial"/>
          <w:b/>
        </w:rPr>
      </w:pPr>
      <w:r w:rsidRPr="00DA6513">
        <w:rPr>
          <w:rFonts w:asciiTheme="majorHAnsi" w:hAnsiTheme="majorHAnsi" w:cs="Arial"/>
          <w:b/>
        </w:rPr>
        <w:t>In these circumstances both the monitoring and prescription required remains under the remit of secondary care specialities</w:t>
      </w:r>
    </w:p>
    <w:tbl>
      <w:tblPr>
        <w:tblStyle w:val="TableGrid"/>
        <w:tblW w:w="0" w:type="auto"/>
        <w:tblLook w:val="04A0"/>
      </w:tblPr>
      <w:tblGrid>
        <w:gridCol w:w="4508"/>
        <w:gridCol w:w="4508"/>
      </w:tblGrid>
      <w:tr w:rsidR="00475513" w:rsidTr="00164263">
        <w:tc>
          <w:tcPr>
            <w:tcW w:w="4508" w:type="dxa"/>
          </w:tcPr>
          <w:p w:rsidR="00475513" w:rsidRPr="007441C8" w:rsidRDefault="00475513" w:rsidP="00164263">
            <w:pPr>
              <w:rPr>
                <w:rFonts w:asciiTheme="majorHAnsi" w:hAnsiTheme="majorHAnsi" w:cs="Arial"/>
                <w:b/>
              </w:rPr>
            </w:pPr>
            <w:r>
              <w:rPr>
                <w:rFonts w:asciiTheme="majorHAnsi" w:hAnsiTheme="majorHAnsi" w:cs="Arial"/>
                <w:b/>
              </w:rPr>
              <w:t>SPECIALITY</w:t>
            </w:r>
          </w:p>
        </w:tc>
        <w:tc>
          <w:tcPr>
            <w:tcW w:w="4508" w:type="dxa"/>
          </w:tcPr>
          <w:p w:rsidR="00475513" w:rsidRDefault="00475513" w:rsidP="00164263">
            <w:pPr>
              <w:rPr>
                <w:rFonts w:asciiTheme="majorHAnsi" w:hAnsiTheme="majorHAnsi" w:cs="Arial"/>
              </w:rPr>
            </w:pPr>
          </w:p>
        </w:tc>
      </w:tr>
      <w:tr w:rsidR="00475513" w:rsidTr="00164263">
        <w:tc>
          <w:tcPr>
            <w:tcW w:w="4508" w:type="dxa"/>
          </w:tcPr>
          <w:p w:rsidR="00475513" w:rsidRPr="00CA700C" w:rsidRDefault="00475513" w:rsidP="00164263">
            <w:pPr>
              <w:rPr>
                <w:rFonts w:asciiTheme="majorHAnsi" w:hAnsiTheme="majorHAnsi" w:cs="Arial"/>
              </w:rPr>
            </w:pPr>
            <w:r>
              <w:rPr>
                <w:rFonts w:asciiTheme="majorHAnsi" w:hAnsiTheme="majorHAnsi" w:cs="Arial"/>
              </w:rPr>
              <w:t>Pan-speciality</w:t>
            </w:r>
          </w:p>
        </w:tc>
        <w:tc>
          <w:tcPr>
            <w:tcW w:w="4508" w:type="dxa"/>
          </w:tcPr>
          <w:p w:rsidR="00475513" w:rsidRPr="00CA700C" w:rsidRDefault="00475513" w:rsidP="00164263">
            <w:pPr>
              <w:rPr>
                <w:rFonts w:asciiTheme="majorHAnsi" w:hAnsiTheme="majorHAnsi" w:cs="Arial"/>
              </w:rPr>
            </w:pPr>
            <w:r>
              <w:rPr>
                <w:rFonts w:asciiTheme="majorHAnsi" w:hAnsiTheme="majorHAnsi" w:cs="Arial"/>
              </w:rPr>
              <w:t>Biologic prescribing and monitoring</w:t>
            </w:r>
          </w:p>
        </w:tc>
      </w:tr>
      <w:tr w:rsidR="00475513" w:rsidTr="00164263">
        <w:tc>
          <w:tcPr>
            <w:tcW w:w="4508" w:type="dxa"/>
          </w:tcPr>
          <w:p w:rsidR="00475513" w:rsidRPr="00CA700C" w:rsidRDefault="00475513" w:rsidP="00164263">
            <w:pPr>
              <w:rPr>
                <w:rFonts w:asciiTheme="majorHAnsi" w:hAnsiTheme="majorHAnsi" w:cs="Arial"/>
              </w:rPr>
            </w:pPr>
            <w:r>
              <w:rPr>
                <w:rFonts w:asciiTheme="majorHAnsi" w:hAnsiTheme="majorHAnsi" w:cs="Arial"/>
              </w:rPr>
              <w:t>Dietetics as part of weight management service</w:t>
            </w:r>
          </w:p>
        </w:tc>
        <w:tc>
          <w:tcPr>
            <w:tcW w:w="4508" w:type="dxa"/>
          </w:tcPr>
          <w:p w:rsidR="00475513" w:rsidRPr="00CA700C" w:rsidRDefault="00475513" w:rsidP="00164263">
            <w:pPr>
              <w:rPr>
                <w:rFonts w:asciiTheme="majorHAnsi" w:hAnsiTheme="majorHAnsi" w:cs="Arial"/>
              </w:rPr>
            </w:pPr>
            <w:r>
              <w:rPr>
                <w:rFonts w:asciiTheme="majorHAnsi" w:hAnsiTheme="majorHAnsi" w:cs="Arial"/>
              </w:rPr>
              <w:t>Liraglutide</w:t>
            </w:r>
          </w:p>
        </w:tc>
      </w:tr>
      <w:tr w:rsidR="00475513" w:rsidTr="00164263">
        <w:tc>
          <w:tcPr>
            <w:tcW w:w="4508" w:type="dxa"/>
          </w:tcPr>
          <w:p w:rsidR="00475513" w:rsidRPr="00CA700C" w:rsidRDefault="00475513" w:rsidP="00164263">
            <w:pPr>
              <w:rPr>
                <w:rFonts w:asciiTheme="majorHAnsi" w:hAnsiTheme="majorHAnsi" w:cs="Arial"/>
              </w:rPr>
            </w:pPr>
            <w:r>
              <w:rPr>
                <w:rFonts w:asciiTheme="majorHAnsi" w:hAnsiTheme="majorHAnsi" w:cs="Arial"/>
              </w:rPr>
              <w:t>Lipid Clinic</w:t>
            </w:r>
          </w:p>
        </w:tc>
        <w:tc>
          <w:tcPr>
            <w:tcW w:w="4508" w:type="dxa"/>
          </w:tcPr>
          <w:p w:rsidR="00475513" w:rsidRPr="00CA700C" w:rsidRDefault="00475513" w:rsidP="00164263">
            <w:pPr>
              <w:rPr>
                <w:rFonts w:asciiTheme="majorHAnsi" w:hAnsiTheme="majorHAnsi" w:cs="Arial"/>
              </w:rPr>
            </w:pPr>
            <w:proofErr w:type="spellStart"/>
            <w:r>
              <w:rPr>
                <w:rFonts w:asciiTheme="majorHAnsi" w:hAnsiTheme="majorHAnsi" w:cs="Arial"/>
              </w:rPr>
              <w:t>Bempidoic</w:t>
            </w:r>
            <w:proofErr w:type="spellEnd"/>
            <w:r>
              <w:rPr>
                <w:rFonts w:asciiTheme="majorHAnsi" w:hAnsiTheme="majorHAnsi" w:cs="Arial"/>
              </w:rPr>
              <w:t xml:space="preserve"> acid prescription and monitoring within 3 months of initiation</w:t>
            </w:r>
          </w:p>
        </w:tc>
      </w:tr>
      <w:tr w:rsidR="00475513" w:rsidTr="00164263">
        <w:tc>
          <w:tcPr>
            <w:tcW w:w="4508" w:type="dxa"/>
          </w:tcPr>
          <w:p w:rsidR="00475513" w:rsidRPr="00CA700C" w:rsidRDefault="00475513" w:rsidP="00164263">
            <w:pPr>
              <w:rPr>
                <w:rFonts w:asciiTheme="majorHAnsi" w:hAnsiTheme="majorHAnsi" w:cs="Arial"/>
              </w:rPr>
            </w:pPr>
            <w:r>
              <w:rPr>
                <w:rFonts w:asciiTheme="majorHAnsi" w:hAnsiTheme="majorHAnsi" w:cs="Arial"/>
              </w:rPr>
              <w:t>Cardiology</w:t>
            </w:r>
          </w:p>
        </w:tc>
        <w:tc>
          <w:tcPr>
            <w:tcW w:w="4508" w:type="dxa"/>
          </w:tcPr>
          <w:p w:rsidR="00475513" w:rsidRPr="00CA700C" w:rsidRDefault="00475513" w:rsidP="00164263">
            <w:pPr>
              <w:rPr>
                <w:rFonts w:asciiTheme="majorHAnsi" w:hAnsiTheme="majorHAnsi" w:cs="Arial"/>
              </w:rPr>
            </w:pPr>
            <w:r>
              <w:rPr>
                <w:rFonts w:asciiTheme="majorHAnsi" w:hAnsiTheme="majorHAnsi" w:cs="Arial"/>
              </w:rPr>
              <w:t>Mexiletine</w:t>
            </w:r>
          </w:p>
        </w:tc>
      </w:tr>
      <w:tr w:rsidR="00475513" w:rsidTr="00164263">
        <w:tc>
          <w:tcPr>
            <w:tcW w:w="4508" w:type="dxa"/>
          </w:tcPr>
          <w:p w:rsidR="00475513" w:rsidRPr="00CA700C" w:rsidRDefault="00475513" w:rsidP="00164263">
            <w:pPr>
              <w:rPr>
                <w:rFonts w:asciiTheme="majorHAnsi" w:hAnsiTheme="majorHAnsi" w:cs="Arial"/>
              </w:rPr>
            </w:pPr>
            <w:r>
              <w:rPr>
                <w:rFonts w:asciiTheme="majorHAnsi" w:hAnsiTheme="majorHAnsi" w:cs="Arial"/>
              </w:rPr>
              <w:t>Uro-oncology</w:t>
            </w:r>
          </w:p>
        </w:tc>
        <w:tc>
          <w:tcPr>
            <w:tcW w:w="4508" w:type="dxa"/>
          </w:tcPr>
          <w:p w:rsidR="00475513" w:rsidRPr="00CA700C" w:rsidRDefault="00475513" w:rsidP="00164263">
            <w:pPr>
              <w:rPr>
                <w:rFonts w:asciiTheme="majorHAnsi" w:hAnsiTheme="majorHAnsi" w:cs="Arial"/>
              </w:rPr>
            </w:pPr>
            <w:r>
              <w:rPr>
                <w:rFonts w:asciiTheme="majorHAnsi" w:hAnsiTheme="majorHAnsi" w:cs="Arial"/>
              </w:rPr>
              <w:t>Bisphosphonate counselling and baseline bloods for patient with prostate cancer</w:t>
            </w:r>
          </w:p>
        </w:tc>
      </w:tr>
      <w:tr w:rsidR="00475513" w:rsidTr="00164263">
        <w:tc>
          <w:tcPr>
            <w:tcW w:w="4508" w:type="dxa"/>
          </w:tcPr>
          <w:p w:rsidR="00475513" w:rsidRPr="00CA700C" w:rsidRDefault="00475513" w:rsidP="00164263">
            <w:pPr>
              <w:rPr>
                <w:rFonts w:asciiTheme="majorHAnsi" w:hAnsiTheme="majorHAnsi" w:cs="Arial"/>
              </w:rPr>
            </w:pPr>
            <w:r>
              <w:rPr>
                <w:rFonts w:asciiTheme="majorHAnsi" w:hAnsiTheme="majorHAnsi" w:cs="Arial"/>
              </w:rPr>
              <w:t>Endocrinology</w:t>
            </w:r>
          </w:p>
        </w:tc>
        <w:tc>
          <w:tcPr>
            <w:tcW w:w="4508" w:type="dxa"/>
          </w:tcPr>
          <w:p w:rsidR="00475513" w:rsidRPr="00CA700C" w:rsidRDefault="00CF7344" w:rsidP="00164263">
            <w:pPr>
              <w:rPr>
                <w:rFonts w:asciiTheme="majorHAnsi" w:hAnsiTheme="majorHAnsi" w:cs="Arial"/>
              </w:rPr>
            </w:pPr>
            <w:r>
              <w:rPr>
                <w:rFonts w:asciiTheme="majorHAnsi" w:hAnsiTheme="majorHAnsi" w:cs="Arial"/>
              </w:rPr>
              <w:t>Hyperparathyroidism</w:t>
            </w:r>
            <w:r w:rsidR="00475513">
              <w:rPr>
                <w:rFonts w:asciiTheme="majorHAnsi" w:hAnsiTheme="majorHAnsi" w:cs="Arial"/>
              </w:rPr>
              <w:t xml:space="preserve"> management including calcium and vitamin D monitoring and </w:t>
            </w:r>
            <w:r w:rsidR="00475513">
              <w:rPr>
                <w:rFonts w:asciiTheme="majorHAnsi" w:hAnsiTheme="majorHAnsi" w:cs="Arial"/>
              </w:rPr>
              <w:lastRenderedPageBreak/>
              <w:t>prescribing</w:t>
            </w:r>
          </w:p>
        </w:tc>
      </w:tr>
      <w:tr w:rsidR="00475513" w:rsidTr="00164263">
        <w:tc>
          <w:tcPr>
            <w:tcW w:w="4508" w:type="dxa"/>
          </w:tcPr>
          <w:p w:rsidR="00475513" w:rsidRPr="00CA700C" w:rsidRDefault="00475513" w:rsidP="00164263">
            <w:pPr>
              <w:rPr>
                <w:rFonts w:asciiTheme="majorHAnsi" w:hAnsiTheme="majorHAnsi" w:cs="Arial"/>
              </w:rPr>
            </w:pPr>
            <w:r>
              <w:rPr>
                <w:rFonts w:asciiTheme="majorHAnsi" w:hAnsiTheme="majorHAnsi" w:cs="Arial"/>
              </w:rPr>
              <w:lastRenderedPageBreak/>
              <w:t>Neurology</w:t>
            </w:r>
          </w:p>
        </w:tc>
        <w:tc>
          <w:tcPr>
            <w:tcW w:w="4508" w:type="dxa"/>
          </w:tcPr>
          <w:p w:rsidR="00475513" w:rsidRPr="00CA700C" w:rsidRDefault="00475513" w:rsidP="00164263">
            <w:pPr>
              <w:rPr>
                <w:rFonts w:asciiTheme="majorHAnsi" w:hAnsiTheme="majorHAnsi" w:cs="Arial"/>
              </w:rPr>
            </w:pPr>
            <w:r>
              <w:rPr>
                <w:rFonts w:asciiTheme="majorHAnsi" w:hAnsiTheme="majorHAnsi" w:cs="Arial"/>
              </w:rPr>
              <w:t>Fingolimod</w:t>
            </w:r>
          </w:p>
        </w:tc>
      </w:tr>
    </w:tbl>
    <w:p w:rsidR="004D047F" w:rsidRDefault="004D047F" w:rsidP="00475513">
      <w:pPr>
        <w:rPr>
          <w:rFonts w:asciiTheme="majorHAnsi" w:hAnsiTheme="majorHAnsi" w:cs="Arial"/>
          <w:b/>
          <w:u w:val="single"/>
        </w:rPr>
      </w:pPr>
    </w:p>
    <w:p w:rsidR="00475513" w:rsidRPr="00DA6513" w:rsidRDefault="00475513" w:rsidP="00475513">
      <w:pPr>
        <w:rPr>
          <w:rFonts w:asciiTheme="majorHAnsi" w:hAnsiTheme="majorHAnsi" w:cs="Arial"/>
        </w:rPr>
      </w:pPr>
      <w:r w:rsidRPr="00DA6513">
        <w:rPr>
          <w:rFonts w:asciiTheme="majorHAnsi" w:hAnsiTheme="majorHAnsi" w:cs="Arial"/>
          <w:b/>
          <w:u w:val="single"/>
        </w:rPr>
        <w:t>Waiting list re-triage</w:t>
      </w:r>
    </w:p>
    <w:p w:rsidR="00475513" w:rsidRDefault="00475513" w:rsidP="00475513">
      <w:pPr>
        <w:rPr>
          <w:rFonts w:asciiTheme="majorHAnsi" w:hAnsiTheme="majorHAnsi" w:cs="Arial"/>
        </w:rPr>
      </w:pPr>
      <w:r w:rsidRPr="00DA6513">
        <w:rPr>
          <w:rFonts w:asciiTheme="majorHAnsi" w:hAnsiTheme="majorHAnsi" w:cs="Arial"/>
        </w:rPr>
        <w:t xml:space="preserve">As agreed </w:t>
      </w:r>
      <w:r>
        <w:rPr>
          <w:rFonts w:asciiTheme="majorHAnsi" w:hAnsiTheme="majorHAnsi" w:cs="Arial"/>
        </w:rPr>
        <w:t>with LIG</w:t>
      </w:r>
      <w:r w:rsidRPr="00DA6513">
        <w:rPr>
          <w:rFonts w:asciiTheme="majorHAnsi" w:hAnsiTheme="majorHAnsi" w:cs="Arial"/>
        </w:rPr>
        <w:t xml:space="preserve">, patients should </w:t>
      </w:r>
      <w:r w:rsidRPr="00DA6513">
        <w:rPr>
          <w:rFonts w:asciiTheme="majorHAnsi" w:hAnsiTheme="majorHAnsi" w:cs="Arial"/>
          <w:b/>
        </w:rPr>
        <w:t>not</w:t>
      </w:r>
      <w:r w:rsidRPr="00DA6513">
        <w:rPr>
          <w:rFonts w:asciiTheme="majorHAnsi" w:hAnsiTheme="majorHAnsi" w:cs="Arial"/>
        </w:rPr>
        <w:t xml:space="preserve"> be redirected back to general practice to request a regrading of their referral priority to expedite appointments on waiting lists, unless there is a deterioration in the patient’s symptoms.</w:t>
      </w:r>
    </w:p>
    <w:p w:rsidR="006B21D7" w:rsidRDefault="006B21D7" w:rsidP="00475513">
      <w:pPr>
        <w:rPr>
          <w:rFonts w:asciiTheme="majorHAnsi" w:hAnsiTheme="majorHAnsi" w:cs="Arial"/>
        </w:rPr>
      </w:pPr>
      <w:r>
        <w:rPr>
          <w:rFonts w:asciiTheme="majorHAnsi" w:hAnsiTheme="majorHAnsi" w:cs="Arial"/>
        </w:rPr>
        <w:t xml:space="preserve">GPs should not direct patients to contact secondary care teams if they have clearly been discharged but refer or liaise appropriately if required. </w:t>
      </w:r>
    </w:p>
    <w:p w:rsidR="00475513" w:rsidRDefault="00475513" w:rsidP="00475513">
      <w:pPr>
        <w:rPr>
          <w:rFonts w:asciiTheme="majorHAnsi" w:hAnsiTheme="majorHAnsi" w:cs="Arial"/>
          <w:b/>
          <w:u w:val="single"/>
        </w:rPr>
      </w:pPr>
      <w:r>
        <w:rPr>
          <w:rFonts w:asciiTheme="majorHAnsi" w:hAnsiTheme="majorHAnsi" w:cs="Arial"/>
          <w:b/>
          <w:u w:val="single"/>
        </w:rPr>
        <w:t>V</w:t>
      </w:r>
      <w:r w:rsidRPr="00DA6513">
        <w:rPr>
          <w:rFonts w:asciiTheme="majorHAnsi" w:hAnsiTheme="majorHAnsi" w:cs="Arial"/>
          <w:b/>
          <w:u w:val="single"/>
        </w:rPr>
        <w:t>accination requests</w:t>
      </w:r>
    </w:p>
    <w:p w:rsidR="00475513" w:rsidRPr="007441C8" w:rsidRDefault="00400FCB" w:rsidP="00475513">
      <w:pPr>
        <w:rPr>
          <w:rStyle w:val="Hyperlink"/>
          <w:rFonts w:asciiTheme="majorHAnsi" w:hAnsiTheme="majorHAnsi" w:cs="Arial"/>
          <w:b/>
          <w:color w:val="auto"/>
        </w:rPr>
      </w:pPr>
      <w:r>
        <w:rPr>
          <w:rFonts w:asciiTheme="majorHAnsi" w:hAnsiTheme="majorHAnsi" w:cs="Arial"/>
        </w:rPr>
        <w:t xml:space="preserve"> LIG has also agreed </w:t>
      </w:r>
      <w:r w:rsidR="00CF7344">
        <w:rPr>
          <w:rFonts w:asciiTheme="majorHAnsi" w:hAnsiTheme="majorHAnsi" w:cs="Arial"/>
        </w:rPr>
        <w:t>that</w:t>
      </w:r>
      <w:r w:rsidR="00475513">
        <w:rPr>
          <w:rFonts w:asciiTheme="majorHAnsi" w:hAnsiTheme="majorHAnsi" w:cs="Arial"/>
        </w:rPr>
        <w:t xml:space="preserve"> a</w:t>
      </w:r>
      <w:r w:rsidR="00475513" w:rsidRPr="00DA6513">
        <w:rPr>
          <w:rFonts w:asciiTheme="majorHAnsi" w:hAnsiTheme="majorHAnsi" w:cs="Arial"/>
        </w:rPr>
        <w:t>ny vaccination out-with routine schedules should be referred via the appropriate forms by the health professional assessing a vaccination to be necessary</w:t>
      </w:r>
      <w:r>
        <w:rPr>
          <w:rFonts w:asciiTheme="majorHAnsi" w:hAnsiTheme="majorHAnsi" w:cs="Arial"/>
        </w:rPr>
        <w:t xml:space="preserve"> and not passed to GPs or secondary care colleagues at the time of referral or via outpatient communication</w:t>
      </w:r>
      <w:r w:rsidR="00475513" w:rsidRPr="00DA6513">
        <w:rPr>
          <w:rFonts w:asciiTheme="majorHAnsi" w:hAnsiTheme="majorHAnsi" w:cs="Arial"/>
        </w:rPr>
        <w:t xml:space="preserve">. </w:t>
      </w:r>
      <w:r>
        <w:rPr>
          <w:rFonts w:asciiTheme="majorHAnsi" w:hAnsiTheme="majorHAnsi" w:cs="Arial"/>
        </w:rPr>
        <w:t>The forms</w:t>
      </w:r>
      <w:r w:rsidR="00475513" w:rsidRPr="00DA6513">
        <w:rPr>
          <w:rFonts w:asciiTheme="majorHAnsi" w:hAnsiTheme="majorHAnsi" w:cs="Arial"/>
        </w:rPr>
        <w:t xml:space="preserve"> are accessible to both primary and secondary care clinicians through </w:t>
      </w:r>
      <w:proofErr w:type="spellStart"/>
      <w:r w:rsidR="0097055A" w:rsidRPr="0097055A">
        <w:rPr>
          <w:rFonts w:asciiTheme="majorHAnsi" w:hAnsiTheme="majorHAnsi" w:cs="Arial"/>
          <w:b/>
          <w:bCs/>
        </w:rPr>
        <w:t>RefHelp</w:t>
      </w:r>
      <w:proofErr w:type="spellEnd"/>
      <w:r>
        <w:rPr>
          <w:rStyle w:val="Hyperlink"/>
          <w:rFonts w:asciiTheme="majorHAnsi" w:hAnsiTheme="majorHAnsi" w:cs="Arial"/>
        </w:rPr>
        <w:t xml:space="preserve">: </w:t>
      </w:r>
    </w:p>
    <w:p w:rsidR="00475513" w:rsidRPr="00DA6513" w:rsidRDefault="00475513" w:rsidP="00475513">
      <w:pPr>
        <w:rPr>
          <w:rStyle w:val="Hyperlink"/>
          <w:rFonts w:asciiTheme="majorHAnsi" w:hAnsiTheme="majorHAnsi" w:cs="Arial"/>
        </w:rPr>
      </w:pPr>
      <w:r w:rsidRPr="00DA6513">
        <w:rPr>
          <w:rStyle w:val="Hyperlink"/>
          <w:rFonts w:asciiTheme="majorHAnsi" w:hAnsiTheme="majorHAnsi" w:cs="Arial"/>
        </w:rPr>
        <w:t xml:space="preserve">ADULT:  </w:t>
      </w:r>
      <w:hyperlink r:id="rId9" w:history="1">
        <w:r w:rsidRPr="00DA6513">
          <w:rPr>
            <w:rStyle w:val="Hyperlink"/>
            <w:rFonts w:asciiTheme="majorHAnsi" w:hAnsiTheme="majorHAnsi" w:cs="Arial"/>
          </w:rPr>
          <w:t>https://apps.nhslothian.scot/refhelp/vaccinations-and-ctacs/</w:t>
        </w:r>
      </w:hyperlink>
    </w:p>
    <w:p w:rsidR="00475513" w:rsidRPr="00DA6513" w:rsidRDefault="00475513" w:rsidP="00475513">
      <w:pPr>
        <w:rPr>
          <w:rFonts w:asciiTheme="majorHAnsi" w:hAnsiTheme="majorHAnsi" w:cs="Arial"/>
        </w:rPr>
      </w:pPr>
      <w:r w:rsidRPr="00DA6513">
        <w:rPr>
          <w:rStyle w:val="Hyperlink"/>
          <w:rFonts w:asciiTheme="majorHAnsi" w:hAnsiTheme="majorHAnsi" w:cs="Arial"/>
        </w:rPr>
        <w:t xml:space="preserve">PAEDIATRIC: </w:t>
      </w:r>
      <w:hyperlink r:id="rId10" w:history="1">
        <w:r w:rsidRPr="00DA6513">
          <w:rPr>
            <w:rStyle w:val="Hyperlink"/>
            <w:rFonts w:asciiTheme="majorHAnsi" w:hAnsiTheme="majorHAnsi" w:cs="Arial"/>
          </w:rPr>
          <w:t>https://apps.nhslothian.scot/refhelp/vaccination-services/</w:t>
        </w:r>
      </w:hyperlink>
      <w:r w:rsidRPr="00DA6513">
        <w:rPr>
          <w:rFonts w:asciiTheme="majorHAnsi" w:hAnsiTheme="majorHAnsi" w:cs="Arial"/>
        </w:rPr>
        <w:t xml:space="preserve"> </w:t>
      </w:r>
    </w:p>
    <w:p w:rsidR="00475513" w:rsidRPr="00DA6513" w:rsidRDefault="00400FCB" w:rsidP="00475513">
      <w:pPr>
        <w:rPr>
          <w:rFonts w:asciiTheme="majorHAnsi" w:hAnsiTheme="majorHAnsi" w:cs="Arial"/>
        </w:rPr>
      </w:pPr>
      <w:r>
        <w:rPr>
          <w:rFonts w:asciiTheme="majorHAnsi" w:hAnsiTheme="majorHAnsi" w:cs="Arial"/>
        </w:rPr>
        <w:t>It is important to remember that g</w:t>
      </w:r>
      <w:r w:rsidR="00475513" w:rsidRPr="00DA6513">
        <w:rPr>
          <w:rFonts w:asciiTheme="majorHAnsi" w:hAnsiTheme="majorHAnsi" w:cs="Arial"/>
        </w:rPr>
        <w:t>eneral practice no longer provides any vaccination (excluding emergency tetanus in certain practices signed up to a voluntary minor injury enhanced service</w:t>
      </w:r>
      <w:r w:rsidR="006B21D7">
        <w:rPr>
          <w:rFonts w:asciiTheme="majorHAnsi" w:hAnsiTheme="majorHAnsi" w:cs="Arial"/>
        </w:rPr>
        <w:t xml:space="preserve"> and the ad hoc vaccination of drug users against hepatitis as part of a voluntary enhanced service</w:t>
      </w:r>
      <w:r w:rsidR="00475513" w:rsidRPr="00DA6513">
        <w:rPr>
          <w:rFonts w:asciiTheme="majorHAnsi" w:hAnsiTheme="majorHAnsi" w:cs="Arial"/>
        </w:rPr>
        <w:t>)</w:t>
      </w:r>
      <w:r w:rsidR="006B21D7">
        <w:rPr>
          <w:rFonts w:asciiTheme="majorHAnsi" w:hAnsiTheme="majorHAnsi" w:cs="Arial"/>
        </w:rPr>
        <w:t xml:space="preserve"> and does not have access to vaccinations under the Scottish Government’s reorganisation of vaccination services. </w:t>
      </w:r>
    </w:p>
    <w:p w:rsidR="00475513" w:rsidRPr="00DA6513" w:rsidRDefault="00475513" w:rsidP="00475513">
      <w:pPr>
        <w:rPr>
          <w:rFonts w:asciiTheme="majorHAnsi" w:hAnsiTheme="majorHAnsi" w:cs="Arial"/>
          <w:b/>
          <w:u w:val="single"/>
        </w:rPr>
      </w:pPr>
      <w:r w:rsidRPr="00DA6513">
        <w:rPr>
          <w:rFonts w:asciiTheme="majorHAnsi" w:hAnsiTheme="majorHAnsi" w:cs="Arial"/>
          <w:b/>
          <w:u w:val="single"/>
        </w:rPr>
        <w:t>Acute prescription requests</w:t>
      </w:r>
    </w:p>
    <w:p w:rsidR="00475513" w:rsidRPr="00DA6513" w:rsidRDefault="00475513" w:rsidP="00475513">
      <w:pPr>
        <w:rPr>
          <w:rFonts w:asciiTheme="majorHAnsi" w:hAnsiTheme="majorHAnsi" w:cs="Arial"/>
        </w:rPr>
      </w:pPr>
      <w:r w:rsidRPr="00DA6513">
        <w:rPr>
          <w:rFonts w:asciiTheme="majorHAnsi" w:hAnsiTheme="majorHAnsi" w:cs="Arial"/>
        </w:rPr>
        <w:t xml:space="preserve">General practice is often better placed to provide patients with an acute </w:t>
      </w:r>
      <w:r w:rsidR="006B21D7" w:rsidRPr="00DA6513">
        <w:rPr>
          <w:rFonts w:asciiTheme="majorHAnsi" w:hAnsiTheme="majorHAnsi" w:cs="Arial"/>
        </w:rPr>
        <w:t>prescription;</w:t>
      </w:r>
      <w:r w:rsidRPr="00DA6513">
        <w:rPr>
          <w:rFonts w:asciiTheme="majorHAnsi" w:hAnsiTheme="majorHAnsi" w:cs="Arial"/>
        </w:rPr>
        <w:t xml:space="preserve"> </w:t>
      </w:r>
      <w:r w:rsidR="00400FCB" w:rsidRPr="00DA6513">
        <w:rPr>
          <w:rFonts w:asciiTheme="majorHAnsi" w:hAnsiTheme="majorHAnsi" w:cs="Arial"/>
        </w:rPr>
        <w:t>however,</w:t>
      </w:r>
      <w:r w:rsidRPr="00DA6513">
        <w:rPr>
          <w:rFonts w:asciiTheme="majorHAnsi" w:hAnsiTheme="majorHAnsi" w:cs="Arial"/>
        </w:rPr>
        <w:t xml:space="preserve"> it is considered reasonable that the duty to inform patients a prescription is bein</w:t>
      </w:r>
      <w:r>
        <w:rPr>
          <w:rFonts w:asciiTheme="majorHAnsi" w:hAnsiTheme="majorHAnsi" w:cs="Arial"/>
        </w:rPr>
        <w:t>g recommended rests with the assessing</w:t>
      </w:r>
      <w:r w:rsidRPr="00DA6513">
        <w:rPr>
          <w:rFonts w:asciiTheme="majorHAnsi" w:hAnsiTheme="majorHAnsi" w:cs="Arial"/>
        </w:rPr>
        <w:t xml:space="preserve"> clinician. Furthermore, p</w:t>
      </w:r>
      <w:r>
        <w:rPr>
          <w:rFonts w:asciiTheme="majorHAnsi" w:hAnsiTheme="majorHAnsi" w:cs="Arial"/>
        </w:rPr>
        <w:t>atients must be advised</w:t>
      </w:r>
      <w:r w:rsidRPr="00DA6513">
        <w:rPr>
          <w:rFonts w:asciiTheme="majorHAnsi" w:hAnsiTheme="majorHAnsi" w:cs="Arial"/>
        </w:rPr>
        <w:t xml:space="preserve"> of a minimum </w:t>
      </w:r>
      <w:r w:rsidR="0097055A" w:rsidRPr="0097055A">
        <w:rPr>
          <w:rFonts w:asciiTheme="majorHAnsi" w:hAnsiTheme="majorHAnsi" w:cs="Arial"/>
          <w:iCs/>
        </w:rPr>
        <w:t>3 working days</w:t>
      </w:r>
      <w:r w:rsidR="006B21D7">
        <w:rPr>
          <w:rFonts w:asciiTheme="majorHAnsi" w:hAnsiTheme="majorHAnsi" w:cs="Arial"/>
          <w:i/>
          <w:u w:val="single"/>
        </w:rPr>
        <w:t xml:space="preserve"> </w:t>
      </w:r>
      <w:r w:rsidRPr="00DA6513">
        <w:rPr>
          <w:rFonts w:asciiTheme="majorHAnsi" w:hAnsiTheme="majorHAnsi" w:cs="Arial"/>
        </w:rPr>
        <w:t xml:space="preserve">wait for any acute prescription unless a delay is considered </w:t>
      </w:r>
      <w:r>
        <w:rPr>
          <w:rFonts w:asciiTheme="majorHAnsi" w:hAnsiTheme="majorHAnsi" w:cs="Arial"/>
        </w:rPr>
        <w:t xml:space="preserve">to significantly alter </w:t>
      </w:r>
      <w:r w:rsidRPr="00DA6513">
        <w:rPr>
          <w:rFonts w:asciiTheme="majorHAnsi" w:hAnsiTheme="majorHAnsi" w:cs="Arial"/>
        </w:rPr>
        <w:t xml:space="preserve">patient outcome </w:t>
      </w:r>
      <w:r w:rsidR="006B21D7">
        <w:rPr>
          <w:rFonts w:asciiTheme="majorHAnsi" w:hAnsiTheme="majorHAnsi" w:cs="Arial"/>
        </w:rPr>
        <w:t>by</w:t>
      </w:r>
      <w:r w:rsidRPr="00DA6513">
        <w:rPr>
          <w:rFonts w:asciiTheme="majorHAnsi" w:hAnsiTheme="majorHAnsi" w:cs="Arial"/>
        </w:rPr>
        <w:t xml:space="preserve"> delay</w:t>
      </w:r>
      <w:r w:rsidR="006B21D7">
        <w:rPr>
          <w:rFonts w:asciiTheme="majorHAnsi" w:hAnsiTheme="majorHAnsi" w:cs="Arial"/>
        </w:rPr>
        <w:t>ing</w:t>
      </w:r>
      <w:r w:rsidRPr="00DA6513">
        <w:rPr>
          <w:rFonts w:asciiTheme="majorHAnsi" w:hAnsiTheme="majorHAnsi" w:cs="Arial"/>
        </w:rPr>
        <w:t xml:space="preserve"> a procedure or cause significant</w:t>
      </w:r>
      <w:r>
        <w:rPr>
          <w:rFonts w:asciiTheme="majorHAnsi" w:hAnsiTheme="majorHAnsi" w:cs="Arial"/>
        </w:rPr>
        <w:t xml:space="preserve"> </w:t>
      </w:r>
      <w:r w:rsidRPr="00DA6513">
        <w:rPr>
          <w:rFonts w:asciiTheme="majorHAnsi" w:hAnsiTheme="majorHAnsi" w:cs="Arial"/>
        </w:rPr>
        <w:t>harm. In such circumstances, secondary care colleagues are requested to consider hospital pharmacy dispens</w:t>
      </w:r>
      <w:r w:rsidR="006B21D7">
        <w:rPr>
          <w:rFonts w:asciiTheme="majorHAnsi" w:hAnsiTheme="majorHAnsi" w:cs="Arial"/>
        </w:rPr>
        <w:t>ing</w:t>
      </w:r>
      <w:r w:rsidRPr="00DA6513">
        <w:rPr>
          <w:rFonts w:asciiTheme="majorHAnsi" w:hAnsiTheme="majorHAnsi" w:cs="Arial"/>
        </w:rPr>
        <w:t>, particularly where the patient is alr</w:t>
      </w:r>
      <w:r>
        <w:rPr>
          <w:rFonts w:asciiTheme="majorHAnsi" w:hAnsiTheme="majorHAnsi" w:cs="Arial"/>
        </w:rPr>
        <w:t>eady within acute medical sites. H</w:t>
      </w:r>
      <w:r w:rsidRPr="00DA6513">
        <w:rPr>
          <w:rFonts w:asciiTheme="majorHAnsi" w:hAnsiTheme="majorHAnsi" w:cs="Arial"/>
        </w:rPr>
        <w:t>owever</w:t>
      </w:r>
      <w:r>
        <w:rPr>
          <w:rFonts w:asciiTheme="majorHAnsi" w:hAnsiTheme="majorHAnsi" w:cs="Arial"/>
        </w:rPr>
        <w:t>,</w:t>
      </w:r>
      <w:r w:rsidRPr="00DA6513">
        <w:rPr>
          <w:rFonts w:asciiTheme="majorHAnsi" w:hAnsiTheme="majorHAnsi" w:cs="Arial"/>
        </w:rPr>
        <w:t xml:space="preserve"> where a</w:t>
      </w:r>
      <w:r>
        <w:rPr>
          <w:rFonts w:asciiTheme="majorHAnsi" w:hAnsiTheme="majorHAnsi" w:cs="Arial"/>
        </w:rPr>
        <w:t>ppropriate, emailing a practice</w:t>
      </w:r>
      <w:r w:rsidRPr="00DA6513">
        <w:rPr>
          <w:rFonts w:asciiTheme="majorHAnsi" w:hAnsiTheme="majorHAnsi" w:cs="Arial"/>
        </w:rPr>
        <w:t xml:space="preserve"> clinical mailbox is the optimum route of communication if primary care is considered to be more suitable.</w:t>
      </w:r>
    </w:p>
    <w:p w:rsidR="00475513" w:rsidRPr="00DA6513" w:rsidRDefault="00475513" w:rsidP="00475513">
      <w:pPr>
        <w:rPr>
          <w:rFonts w:asciiTheme="majorHAnsi" w:hAnsiTheme="majorHAnsi" w:cs="Arial"/>
          <w:b/>
          <w:u w:val="single"/>
        </w:rPr>
      </w:pPr>
      <w:r w:rsidRPr="00DA6513">
        <w:rPr>
          <w:rFonts w:asciiTheme="majorHAnsi" w:hAnsiTheme="majorHAnsi" w:cs="Arial"/>
          <w:b/>
          <w:u w:val="single"/>
        </w:rPr>
        <w:t>Sick-line requests</w:t>
      </w:r>
    </w:p>
    <w:p w:rsidR="00475513" w:rsidRPr="00DA6513" w:rsidRDefault="00475513" w:rsidP="00475513">
      <w:pPr>
        <w:rPr>
          <w:rFonts w:asciiTheme="majorHAnsi" w:hAnsiTheme="majorHAnsi" w:cs="Arial"/>
        </w:rPr>
      </w:pPr>
      <w:r w:rsidRPr="00DA6513">
        <w:rPr>
          <w:rFonts w:asciiTheme="majorHAnsi" w:hAnsiTheme="majorHAnsi" w:cs="Arial"/>
        </w:rPr>
        <w:t xml:space="preserve">The majority of sick-line requests are undertaken in primary care. </w:t>
      </w:r>
      <w:r w:rsidR="006B21D7" w:rsidRPr="00DA6513">
        <w:rPr>
          <w:rFonts w:asciiTheme="majorHAnsi" w:hAnsiTheme="majorHAnsi" w:cs="Arial"/>
        </w:rPr>
        <w:t>However,</w:t>
      </w:r>
      <w:r w:rsidRPr="00DA6513">
        <w:rPr>
          <w:rFonts w:asciiTheme="majorHAnsi" w:hAnsiTheme="majorHAnsi" w:cs="Arial"/>
        </w:rPr>
        <w:t xml:space="preserve"> for patients that h</w:t>
      </w:r>
      <w:r>
        <w:rPr>
          <w:rFonts w:asciiTheme="majorHAnsi" w:hAnsiTheme="majorHAnsi" w:cs="Arial"/>
        </w:rPr>
        <w:t xml:space="preserve">ave been seen by </w:t>
      </w:r>
      <w:r w:rsidRPr="00DA6513">
        <w:rPr>
          <w:rFonts w:asciiTheme="majorHAnsi" w:hAnsiTheme="majorHAnsi" w:cs="Arial"/>
        </w:rPr>
        <w:t xml:space="preserve">colleagues in </w:t>
      </w:r>
      <w:r w:rsidR="00672651">
        <w:rPr>
          <w:rFonts w:asciiTheme="majorHAnsi" w:hAnsiTheme="majorHAnsi" w:cs="Arial"/>
        </w:rPr>
        <w:t>Emergency Dept</w:t>
      </w:r>
      <w:r>
        <w:rPr>
          <w:rFonts w:asciiTheme="majorHAnsi" w:hAnsiTheme="majorHAnsi" w:cs="Arial"/>
        </w:rPr>
        <w:t xml:space="preserve">, </w:t>
      </w:r>
      <w:r w:rsidR="006B21D7">
        <w:rPr>
          <w:rFonts w:asciiTheme="majorHAnsi" w:hAnsiTheme="majorHAnsi" w:cs="Arial"/>
        </w:rPr>
        <w:t>outpatients</w:t>
      </w:r>
      <w:r>
        <w:rPr>
          <w:rFonts w:asciiTheme="majorHAnsi" w:hAnsiTheme="majorHAnsi" w:cs="Arial"/>
        </w:rPr>
        <w:t xml:space="preserve"> or as inpatients, sick</w:t>
      </w:r>
      <w:r w:rsidR="006B21D7">
        <w:rPr>
          <w:rFonts w:asciiTheme="majorHAnsi" w:hAnsiTheme="majorHAnsi" w:cs="Arial"/>
        </w:rPr>
        <w:t>-</w:t>
      </w:r>
      <w:r>
        <w:rPr>
          <w:rFonts w:asciiTheme="majorHAnsi" w:hAnsiTheme="majorHAnsi" w:cs="Arial"/>
        </w:rPr>
        <w:t>lines should be issued by the speciality</w:t>
      </w:r>
      <w:r w:rsidR="00400FCB">
        <w:rPr>
          <w:rFonts w:asciiTheme="majorHAnsi" w:hAnsiTheme="majorHAnsi" w:cs="Arial"/>
        </w:rPr>
        <w:t xml:space="preserve"> to assist patients and reduce duplication of work. </w:t>
      </w:r>
    </w:p>
    <w:p w:rsidR="00475513" w:rsidRPr="00DA6513" w:rsidRDefault="00475513" w:rsidP="00475513">
      <w:pPr>
        <w:rPr>
          <w:rFonts w:asciiTheme="majorHAnsi" w:hAnsiTheme="majorHAnsi" w:cs="Arial"/>
        </w:rPr>
      </w:pPr>
      <w:r w:rsidRPr="00DA6513">
        <w:rPr>
          <w:rFonts w:asciiTheme="majorHAnsi" w:hAnsiTheme="majorHAnsi" w:cs="Arial"/>
          <w:b/>
          <w:u w:val="single"/>
        </w:rPr>
        <w:t>Lothian Shared Care Agreements</w:t>
      </w:r>
      <w:r w:rsidRPr="00DA6513">
        <w:rPr>
          <w:rFonts w:asciiTheme="majorHAnsi" w:hAnsiTheme="majorHAnsi" w:cs="Arial"/>
          <w:b/>
        </w:rPr>
        <w:t>:</w:t>
      </w:r>
    </w:p>
    <w:p w:rsidR="00475513" w:rsidRPr="00DA6513" w:rsidRDefault="00475513" w:rsidP="00475513">
      <w:pPr>
        <w:rPr>
          <w:rFonts w:asciiTheme="majorHAnsi" w:hAnsiTheme="majorHAnsi" w:cs="Arial"/>
        </w:rPr>
      </w:pPr>
      <w:r w:rsidRPr="00DA6513">
        <w:rPr>
          <w:rFonts w:asciiTheme="majorHAnsi" w:hAnsiTheme="majorHAnsi" w:cs="Arial"/>
        </w:rPr>
        <w:t>For ease of reference,</w:t>
      </w:r>
      <w:r>
        <w:rPr>
          <w:rFonts w:asciiTheme="majorHAnsi" w:hAnsiTheme="majorHAnsi" w:cs="Arial"/>
        </w:rPr>
        <w:t xml:space="preserve"> </w:t>
      </w:r>
      <w:r w:rsidRPr="00DA6513">
        <w:rPr>
          <w:rFonts w:asciiTheme="majorHAnsi" w:hAnsiTheme="majorHAnsi" w:cs="Arial"/>
        </w:rPr>
        <w:t>SCAs</w:t>
      </w:r>
      <w:r>
        <w:rPr>
          <w:rFonts w:asciiTheme="majorHAnsi" w:hAnsiTheme="majorHAnsi" w:cs="Arial"/>
        </w:rPr>
        <w:t xml:space="preserve"> are</w:t>
      </w:r>
      <w:r w:rsidRPr="00DA6513">
        <w:rPr>
          <w:rFonts w:asciiTheme="majorHAnsi" w:hAnsiTheme="majorHAnsi" w:cs="Arial"/>
        </w:rPr>
        <w:t xml:space="preserve"> here:</w:t>
      </w:r>
    </w:p>
    <w:p w:rsidR="00475513" w:rsidRPr="00DA6513" w:rsidRDefault="00CE52C0" w:rsidP="00475513">
      <w:pPr>
        <w:rPr>
          <w:rStyle w:val="Hyperlink"/>
          <w:rFonts w:asciiTheme="majorHAnsi" w:eastAsia="Times New Roman" w:hAnsiTheme="majorHAnsi" w:cs="Arial"/>
        </w:rPr>
      </w:pPr>
      <w:hyperlink r:id="rId11" w:history="1">
        <w:r w:rsidR="00475513" w:rsidRPr="00DA6513">
          <w:rPr>
            <w:rStyle w:val="Hyperlink"/>
            <w:rFonts w:asciiTheme="majorHAnsi" w:eastAsia="Times New Roman" w:hAnsiTheme="majorHAnsi" w:cs="Arial"/>
          </w:rPr>
          <w:t>https://formulary.nhs.scot/east/help-and-support/for-healthcare-professionals/ </w:t>
        </w:r>
      </w:hyperlink>
    </w:p>
    <w:p w:rsidR="00475513" w:rsidRPr="00DA6513" w:rsidRDefault="00475513" w:rsidP="00475513">
      <w:pPr>
        <w:rPr>
          <w:rFonts w:asciiTheme="majorHAnsi" w:hAnsiTheme="majorHAnsi" w:cs="Arial"/>
          <w:b/>
        </w:rPr>
      </w:pPr>
      <w:r w:rsidRPr="00DA6513">
        <w:rPr>
          <w:rFonts w:asciiTheme="majorHAnsi" w:hAnsiTheme="majorHAnsi" w:cs="Arial"/>
        </w:rPr>
        <w:lastRenderedPageBreak/>
        <w:t xml:space="preserve">For patient </w:t>
      </w:r>
      <w:r>
        <w:rPr>
          <w:rFonts w:asciiTheme="majorHAnsi" w:hAnsiTheme="majorHAnsi" w:cs="Arial"/>
        </w:rPr>
        <w:t>and clinician safety</w:t>
      </w:r>
      <w:r w:rsidRPr="00DA6513">
        <w:rPr>
          <w:rFonts w:asciiTheme="majorHAnsi" w:hAnsiTheme="majorHAnsi" w:cs="Arial"/>
        </w:rPr>
        <w:t>, monitoring or prescription requests to primary care must strictly remain within the boundaries</w:t>
      </w:r>
      <w:r>
        <w:rPr>
          <w:rFonts w:asciiTheme="majorHAnsi" w:hAnsiTheme="majorHAnsi" w:cs="Arial"/>
        </w:rPr>
        <w:t xml:space="preserve"> </w:t>
      </w:r>
      <w:r w:rsidRPr="00DA6513">
        <w:rPr>
          <w:rFonts w:asciiTheme="majorHAnsi" w:hAnsiTheme="majorHAnsi" w:cs="Arial"/>
        </w:rPr>
        <w:t xml:space="preserve">outlined within such agreements. </w:t>
      </w:r>
      <w:r w:rsidRPr="00DA6513">
        <w:rPr>
          <w:rFonts w:asciiTheme="majorHAnsi" w:hAnsiTheme="majorHAnsi" w:cs="Arial"/>
          <w:b/>
        </w:rPr>
        <w:t>It is important to note,</w:t>
      </w:r>
      <w:r>
        <w:rPr>
          <w:rFonts w:asciiTheme="majorHAnsi" w:hAnsiTheme="majorHAnsi" w:cs="Arial"/>
          <w:b/>
        </w:rPr>
        <w:t xml:space="preserve"> </w:t>
      </w:r>
      <w:r w:rsidR="006B21D7">
        <w:rPr>
          <w:rFonts w:asciiTheme="majorHAnsi" w:hAnsiTheme="majorHAnsi" w:cs="Arial"/>
          <w:b/>
        </w:rPr>
        <w:t>some</w:t>
      </w:r>
      <w:r>
        <w:rPr>
          <w:rFonts w:asciiTheme="majorHAnsi" w:hAnsiTheme="majorHAnsi" w:cs="Arial"/>
          <w:b/>
        </w:rPr>
        <w:t xml:space="preserve"> SCAs</w:t>
      </w:r>
      <w:r w:rsidRPr="00DA6513">
        <w:rPr>
          <w:rFonts w:asciiTheme="majorHAnsi" w:hAnsiTheme="majorHAnsi" w:cs="Arial"/>
          <w:b/>
        </w:rPr>
        <w:t xml:space="preserve"> are “recommendations” or “agreements in principle”, but there has been no formal acceptance by general practice or transfer of resou</w:t>
      </w:r>
      <w:r>
        <w:rPr>
          <w:rFonts w:asciiTheme="majorHAnsi" w:hAnsiTheme="majorHAnsi" w:cs="Arial"/>
          <w:b/>
        </w:rPr>
        <w:t>rce to cover workload transfer</w:t>
      </w:r>
      <w:r w:rsidRPr="00DA6513">
        <w:rPr>
          <w:rFonts w:asciiTheme="majorHAnsi" w:hAnsiTheme="majorHAnsi" w:cs="Arial"/>
          <w:b/>
        </w:rPr>
        <w:t>.</w:t>
      </w:r>
      <w:r>
        <w:rPr>
          <w:rFonts w:asciiTheme="majorHAnsi" w:hAnsiTheme="majorHAnsi" w:cs="Arial"/>
          <w:b/>
        </w:rPr>
        <w:t xml:space="preserve"> This issue has been raised with </w:t>
      </w:r>
      <w:r w:rsidR="006B21D7">
        <w:rPr>
          <w:rFonts w:asciiTheme="majorHAnsi" w:hAnsiTheme="majorHAnsi" w:cs="Arial"/>
          <w:b/>
        </w:rPr>
        <w:t xml:space="preserve">NHS </w:t>
      </w:r>
      <w:r>
        <w:rPr>
          <w:rFonts w:asciiTheme="majorHAnsi" w:hAnsiTheme="majorHAnsi" w:cs="Arial"/>
          <w:b/>
        </w:rPr>
        <w:t>Lothian</w:t>
      </w:r>
      <w:r w:rsidRPr="00DA6513">
        <w:rPr>
          <w:rFonts w:asciiTheme="majorHAnsi" w:hAnsiTheme="majorHAnsi" w:cs="Arial"/>
          <w:b/>
        </w:rPr>
        <w:t xml:space="preserve">. </w:t>
      </w:r>
      <w:r w:rsidR="00400FCB">
        <w:rPr>
          <w:rFonts w:asciiTheme="majorHAnsi" w:hAnsiTheme="majorHAnsi" w:cs="Arial"/>
          <w:b/>
        </w:rPr>
        <w:t xml:space="preserve"> Those that are recommendations or draft agreements are described as such. </w:t>
      </w:r>
      <w:r>
        <w:rPr>
          <w:rFonts w:asciiTheme="majorHAnsi" w:hAnsiTheme="majorHAnsi" w:cs="Arial"/>
          <w:b/>
        </w:rPr>
        <w:t>It is also important to note</w:t>
      </w:r>
      <w:r w:rsidRPr="00DA6513">
        <w:rPr>
          <w:rFonts w:asciiTheme="majorHAnsi" w:hAnsiTheme="majorHAnsi" w:cs="Arial"/>
          <w:b/>
        </w:rPr>
        <w:t xml:space="preserve"> that </w:t>
      </w:r>
      <w:r w:rsidR="00400FCB">
        <w:rPr>
          <w:rFonts w:asciiTheme="majorHAnsi" w:hAnsiTheme="majorHAnsi" w:cs="Arial"/>
          <w:b/>
        </w:rPr>
        <w:t xml:space="preserve">some </w:t>
      </w:r>
      <w:r>
        <w:rPr>
          <w:rFonts w:asciiTheme="majorHAnsi" w:hAnsiTheme="majorHAnsi" w:cs="Arial"/>
          <w:b/>
        </w:rPr>
        <w:t xml:space="preserve">GP </w:t>
      </w:r>
      <w:r w:rsidR="00400FCB">
        <w:rPr>
          <w:rFonts w:asciiTheme="majorHAnsi" w:hAnsiTheme="majorHAnsi" w:cs="Arial"/>
          <w:b/>
        </w:rPr>
        <w:t>practices may</w:t>
      </w:r>
      <w:r>
        <w:rPr>
          <w:rFonts w:asciiTheme="majorHAnsi" w:hAnsiTheme="majorHAnsi" w:cs="Arial"/>
          <w:b/>
        </w:rPr>
        <w:t xml:space="preserve"> choose to</w:t>
      </w:r>
      <w:r w:rsidRPr="00DA6513">
        <w:rPr>
          <w:rFonts w:asciiTheme="majorHAnsi" w:hAnsiTheme="majorHAnsi" w:cs="Arial"/>
          <w:b/>
        </w:rPr>
        <w:t xml:space="preserve"> opt out of a</w:t>
      </w:r>
      <w:r>
        <w:rPr>
          <w:rFonts w:asciiTheme="majorHAnsi" w:hAnsiTheme="majorHAnsi" w:cs="Arial"/>
          <w:b/>
        </w:rPr>
        <w:t xml:space="preserve">n SCA, </w:t>
      </w:r>
      <w:r w:rsidRPr="00DA6513">
        <w:rPr>
          <w:rFonts w:asciiTheme="majorHAnsi" w:hAnsiTheme="majorHAnsi" w:cs="Arial"/>
          <w:b/>
        </w:rPr>
        <w:t>in whic</w:t>
      </w:r>
      <w:r>
        <w:rPr>
          <w:rFonts w:asciiTheme="majorHAnsi" w:hAnsiTheme="majorHAnsi" w:cs="Arial"/>
          <w:b/>
        </w:rPr>
        <w:t>h case full care defaults back to speciality</w:t>
      </w:r>
      <w:r w:rsidRPr="00DA6513">
        <w:rPr>
          <w:rFonts w:asciiTheme="majorHAnsi" w:hAnsiTheme="majorHAnsi" w:cs="Arial"/>
          <w:b/>
        </w:rPr>
        <w:t>.</w:t>
      </w:r>
    </w:p>
    <w:p w:rsidR="00475513" w:rsidRPr="00DA6513" w:rsidRDefault="00475513" w:rsidP="00475513">
      <w:pPr>
        <w:rPr>
          <w:rFonts w:asciiTheme="majorHAnsi" w:hAnsiTheme="majorHAnsi" w:cs="Arial"/>
          <w:b/>
          <w:u w:val="single"/>
        </w:rPr>
      </w:pPr>
      <w:r w:rsidRPr="00DA6513">
        <w:rPr>
          <w:rFonts w:asciiTheme="majorHAnsi" w:hAnsiTheme="majorHAnsi" w:cs="Arial"/>
          <w:b/>
          <w:u w:val="single"/>
        </w:rPr>
        <w:t>Referrals</w:t>
      </w:r>
    </w:p>
    <w:p w:rsidR="00475513" w:rsidRPr="00DA6513" w:rsidRDefault="00475513" w:rsidP="00475513">
      <w:pPr>
        <w:rPr>
          <w:rFonts w:asciiTheme="majorHAnsi" w:hAnsiTheme="majorHAnsi" w:cs="Arial"/>
        </w:rPr>
      </w:pPr>
      <w:r>
        <w:rPr>
          <w:rFonts w:asciiTheme="majorHAnsi" w:hAnsiTheme="majorHAnsi" w:cs="Arial"/>
        </w:rPr>
        <w:t>Any</w:t>
      </w:r>
      <w:r w:rsidRPr="00DA6513">
        <w:rPr>
          <w:rFonts w:asciiTheme="majorHAnsi" w:hAnsiTheme="majorHAnsi" w:cs="Arial"/>
        </w:rPr>
        <w:t xml:space="preserve"> referral proposed by a primary or secondary care health professional should be undertaken by the individual themselves and should </w:t>
      </w:r>
      <w:r>
        <w:rPr>
          <w:rFonts w:asciiTheme="majorHAnsi" w:hAnsiTheme="majorHAnsi" w:cs="Arial"/>
        </w:rPr>
        <w:t>not</w:t>
      </w:r>
      <w:r w:rsidRPr="00DA6513">
        <w:rPr>
          <w:rFonts w:asciiTheme="majorHAnsi" w:hAnsiTheme="majorHAnsi" w:cs="Arial"/>
        </w:rPr>
        <w:t xml:space="preserve"> be passed onto colleagues to do on their behalf.  For more detail (</w:t>
      </w:r>
      <w:r w:rsidRPr="00DA6513">
        <w:rPr>
          <w:rFonts w:asciiTheme="majorHAnsi" w:hAnsiTheme="majorHAnsi" w:cs="Arial"/>
          <w:i/>
        </w:rPr>
        <w:t>including exceptional circumstances</w:t>
      </w:r>
      <w:r w:rsidRPr="00DA6513">
        <w:rPr>
          <w:rFonts w:asciiTheme="majorHAnsi" w:hAnsiTheme="majorHAnsi" w:cs="Arial"/>
        </w:rPr>
        <w:t xml:space="preserve">) please refer to the letter previously issued by </w:t>
      </w:r>
      <w:r>
        <w:rPr>
          <w:rFonts w:asciiTheme="majorHAnsi" w:hAnsiTheme="majorHAnsi" w:cs="Arial"/>
        </w:rPr>
        <w:t>LIG</w:t>
      </w:r>
      <w:r w:rsidRPr="00DA6513">
        <w:rPr>
          <w:rFonts w:asciiTheme="majorHAnsi" w:hAnsiTheme="majorHAnsi" w:cs="Arial"/>
        </w:rPr>
        <w:t>:</w:t>
      </w:r>
    </w:p>
    <w:p w:rsidR="00475513" w:rsidRPr="00DA6513" w:rsidRDefault="00CE52C0" w:rsidP="00475513">
      <w:pPr>
        <w:rPr>
          <w:rFonts w:asciiTheme="majorHAnsi" w:hAnsiTheme="majorHAnsi" w:cs="Arial"/>
        </w:rPr>
      </w:pPr>
      <w:hyperlink r:id="rId12" w:history="1">
        <w:r w:rsidR="00475513" w:rsidRPr="00DA6513">
          <w:rPr>
            <w:rStyle w:val="Hyperlink"/>
            <w:rFonts w:asciiTheme="majorHAnsi" w:hAnsiTheme="majorHAnsi" w:cs="Arial"/>
            <w:i/>
          </w:rPr>
          <w:t>http://intranet.lothian.scot.nhs.uk/Directory/lothianinterfacegroup/Pages/default.aspx</w:t>
        </w:r>
      </w:hyperlink>
      <w:r w:rsidR="00475513" w:rsidRPr="00DA6513">
        <w:rPr>
          <w:rFonts w:asciiTheme="majorHAnsi" w:hAnsiTheme="majorHAnsi" w:cs="Arial"/>
          <w:i/>
        </w:rPr>
        <w:t xml:space="preserve"> </w:t>
      </w:r>
    </w:p>
    <w:p w:rsidR="00475513" w:rsidRPr="00DA6513" w:rsidRDefault="00475513" w:rsidP="00475513">
      <w:pPr>
        <w:rPr>
          <w:rFonts w:asciiTheme="majorHAnsi" w:hAnsiTheme="majorHAnsi" w:cs="Arial"/>
        </w:rPr>
      </w:pPr>
      <w:r w:rsidRPr="00DA6513">
        <w:rPr>
          <w:rFonts w:asciiTheme="majorHAnsi" w:hAnsiTheme="majorHAnsi" w:cs="Arial"/>
        </w:rPr>
        <w:t>Furthermore, where a USOC (Urgent Suspicion of Cancer) referral has</w:t>
      </w:r>
      <w:r>
        <w:rPr>
          <w:rFonts w:asciiTheme="majorHAnsi" w:hAnsiTheme="majorHAnsi" w:cs="Arial"/>
        </w:rPr>
        <w:t xml:space="preserve"> been re-triaged to a less urgent pathway,</w:t>
      </w:r>
      <w:r w:rsidRPr="00DA6513">
        <w:rPr>
          <w:rFonts w:asciiTheme="majorHAnsi" w:hAnsiTheme="majorHAnsi" w:cs="Arial"/>
        </w:rPr>
        <w:t xml:space="preserve"> it is recommended good practice that the </w:t>
      </w:r>
      <w:r w:rsidR="00400FCB">
        <w:rPr>
          <w:rFonts w:asciiTheme="majorHAnsi" w:hAnsiTheme="majorHAnsi" w:cs="Arial"/>
        </w:rPr>
        <w:t>triaging</w:t>
      </w:r>
      <w:r w:rsidRPr="00DA6513">
        <w:rPr>
          <w:rFonts w:asciiTheme="majorHAnsi" w:hAnsiTheme="majorHAnsi" w:cs="Arial"/>
        </w:rPr>
        <w:t xml:space="preserve"> clinician informs the </w:t>
      </w:r>
      <w:r>
        <w:rPr>
          <w:rFonts w:asciiTheme="majorHAnsi" w:hAnsiTheme="majorHAnsi" w:cs="Arial"/>
        </w:rPr>
        <w:t xml:space="preserve">patient </w:t>
      </w:r>
      <w:r w:rsidRPr="00DA6513">
        <w:rPr>
          <w:rFonts w:asciiTheme="majorHAnsi" w:hAnsiTheme="majorHAnsi" w:cs="Arial"/>
        </w:rPr>
        <w:t xml:space="preserve">as well as the referrer, </w:t>
      </w:r>
      <w:r w:rsidR="00400FCB">
        <w:rPr>
          <w:rFonts w:asciiTheme="majorHAnsi" w:hAnsiTheme="majorHAnsi" w:cs="Arial"/>
        </w:rPr>
        <w:t>when it is</w:t>
      </w:r>
      <w:r w:rsidRPr="00DA6513">
        <w:rPr>
          <w:rFonts w:asciiTheme="majorHAnsi" w:hAnsiTheme="majorHAnsi" w:cs="Arial"/>
        </w:rPr>
        <w:t xml:space="preserve"> clear in the </w:t>
      </w:r>
      <w:r w:rsidR="00400FCB">
        <w:rPr>
          <w:rFonts w:asciiTheme="majorHAnsi" w:hAnsiTheme="majorHAnsi" w:cs="Arial"/>
        </w:rPr>
        <w:t xml:space="preserve">original </w:t>
      </w:r>
      <w:r w:rsidRPr="00DA6513">
        <w:rPr>
          <w:rFonts w:asciiTheme="majorHAnsi" w:hAnsiTheme="majorHAnsi" w:cs="Arial"/>
        </w:rPr>
        <w:t>referral letter that th</w:t>
      </w:r>
      <w:r>
        <w:rPr>
          <w:rFonts w:asciiTheme="majorHAnsi" w:hAnsiTheme="majorHAnsi" w:cs="Arial"/>
        </w:rPr>
        <w:t>e patient was informed of the USOC status</w:t>
      </w:r>
      <w:r w:rsidRPr="00DA6513">
        <w:rPr>
          <w:rFonts w:asciiTheme="majorHAnsi" w:hAnsiTheme="majorHAnsi" w:cs="Arial"/>
        </w:rPr>
        <w:t xml:space="preserve">.  </w:t>
      </w:r>
      <w:hyperlink r:id="rId13" w:history="1">
        <w:r w:rsidRPr="00DA6513">
          <w:rPr>
            <w:rStyle w:val="Hyperlink"/>
            <w:rFonts w:asciiTheme="majorHAnsi" w:hAnsiTheme="majorHAnsi" w:cs="Arial"/>
          </w:rPr>
          <w:t>https://www.gov.scot/publications/urgent-suspicion-cancer-national-regrading-guidance/</w:t>
        </w:r>
      </w:hyperlink>
      <w:r w:rsidRPr="00DA6513">
        <w:rPr>
          <w:rFonts w:asciiTheme="majorHAnsi" w:hAnsiTheme="majorHAnsi" w:cs="Arial"/>
        </w:rPr>
        <w:t xml:space="preserve"> </w:t>
      </w:r>
    </w:p>
    <w:p w:rsidR="00475513" w:rsidRDefault="00475513" w:rsidP="00475513">
      <w:pPr>
        <w:rPr>
          <w:rFonts w:asciiTheme="majorHAnsi" w:hAnsiTheme="majorHAnsi" w:cs="Arial"/>
        </w:rPr>
      </w:pPr>
      <w:r>
        <w:rPr>
          <w:rFonts w:asciiTheme="majorHAnsi" w:hAnsiTheme="majorHAnsi" w:cs="Arial"/>
        </w:rPr>
        <w:t xml:space="preserve">The NHS is a </w:t>
      </w:r>
      <w:r w:rsidR="00400FCB">
        <w:rPr>
          <w:rFonts w:asciiTheme="majorHAnsi" w:hAnsiTheme="majorHAnsi" w:cs="Arial"/>
        </w:rPr>
        <w:t>vital</w:t>
      </w:r>
      <w:r>
        <w:rPr>
          <w:rFonts w:asciiTheme="majorHAnsi" w:hAnsiTheme="majorHAnsi" w:cs="Arial"/>
        </w:rPr>
        <w:t xml:space="preserve"> </w:t>
      </w:r>
      <w:r w:rsidR="00400FCB">
        <w:rPr>
          <w:rFonts w:asciiTheme="majorHAnsi" w:hAnsiTheme="majorHAnsi" w:cs="Arial"/>
        </w:rPr>
        <w:t>re</w:t>
      </w:r>
      <w:r>
        <w:rPr>
          <w:rFonts w:asciiTheme="majorHAnsi" w:hAnsiTheme="majorHAnsi" w:cs="Arial"/>
        </w:rPr>
        <w:t xml:space="preserve">source </w:t>
      </w:r>
      <w:r w:rsidR="00400FCB">
        <w:rPr>
          <w:rFonts w:asciiTheme="majorHAnsi" w:hAnsiTheme="majorHAnsi" w:cs="Arial"/>
        </w:rPr>
        <w:t>for</w:t>
      </w:r>
      <w:r w:rsidR="00400FCB" w:rsidRPr="00DA6513">
        <w:rPr>
          <w:rFonts w:asciiTheme="majorHAnsi" w:hAnsiTheme="majorHAnsi" w:cs="Arial"/>
        </w:rPr>
        <w:t xml:space="preserve"> </w:t>
      </w:r>
      <w:r w:rsidRPr="00DA6513">
        <w:rPr>
          <w:rFonts w:asciiTheme="majorHAnsi" w:hAnsiTheme="majorHAnsi" w:cs="Arial"/>
        </w:rPr>
        <w:t xml:space="preserve">our communities. We </w:t>
      </w:r>
      <w:r w:rsidRPr="00516F87">
        <w:rPr>
          <w:rFonts w:asciiTheme="majorHAnsi" w:hAnsiTheme="majorHAnsi" w:cs="Arial"/>
          <w:b/>
        </w:rPr>
        <w:t>must</w:t>
      </w:r>
      <w:r w:rsidRPr="00DA6513">
        <w:rPr>
          <w:rFonts w:asciiTheme="majorHAnsi" w:hAnsiTheme="majorHAnsi" w:cs="Arial"/>
        </w:rPr>
        <w:t xml:space="preserve"> protect the services we provide, and the health professionals that work within it. Only through w</w:t>
      </w:r>
      <w:r>
        <w:rPr>
          <w:rFonts w:asciiTheme="majorHAnsi" w:hAnsiTheme="majorHAnsi" w:cs="Arial"/>
        </w:rPr>
        <w:t>orking together</w:t>
      </w:r>
      <w:r w:rsidRPr="00DA6513">
        <w:rPr>
          <w:rFonts w:asciiTheme="majorHAnsi" w:hAnsiTheme="majorHAnsi" w:cs="Arial"/>
        </w:rPr>
        <w:t xml:space="preserve">, respecting </w:t>
      </w:r>
      <w:r>
        <w:rPr>
          <w:rFonts w:asciiTheme="majorHAnsi" w:hAnsiTheme="majorHAnsi" w:cs="Arial"/>
        </w:rPr>
        <w:t>colleagues</w:t>
      </w:r>
      <w:r w:rsidR="00400FCB">
        <w:rPr>
          <w:rFonts w:asciiTheme="majorHAnsi" w:hAnsiTheme="majorHAnsi" w:cs="Arial"/>
        </w:rPr>
        <w:t>,</w:t>
      </w:r>
      <w:r>
        <w:rPr>
          <w:rFonts w:asciiTheme="majorHAnsi" w:hAnsiTheme="majorHAnsi" w:cs="Arial"/>
        </w:rPr>
        <w:t xml:space="preserve"> their</w:t>
      </w:r>
      <w:r w:rsidRPr="00DA6513">
        <w:rPr>
          <w:rFonts w:asciiTheme="majorHAnsi" w:hAnsiTheme="majorHAnsi" w:cs="Arial"/>
        </w:rPr>
        <w:t xml:space="preserve"> roles, and expertise, will we be able to overcome such challenging times. </w:t>
      </w:r>
    </w:p>
    <w:p w:rsidR="00475513" w:rsidRPr="00DA6513" w:rsidRDefault="00475513" w:rsidP="00475513">
      <w:pPr>
        <w:rPr>
          <w:rFonts w:asciiTheme="majorHAnsi" w:hAnsiTheme="majorHAnsi" w:cs="Arial"/>
        </w:rPr>
      </w:pPr>
      <w:r w:rsidRPr="00DA6513">
        <w:rPr>
          <w:rFonts w:asciiTheme="majorHAnsi" w:hAnsiTheme="majorHAnsi" w:cs="Arial"/>
        </w:rPr>
        <w:t>Many thanks for your cooperation</w:t>
      </w:r>
      <w:r w:rsidR="007C0D64">
        <w:rPr>
          <w:rFonts w:asciiTheme="majorHAnsi" w:hAnsiTheme="majorHAnsi" w:cs="Arial"/>
        </w:rPr>
        <w:t>.</w:t>
      </w:r>
    </w:p>
    <w:p w:rsidR="00475513" w:rsidRDefault="00475513" w:rsidP="00475513">
      <w:pPr>
        <w:rPr>
          <w:rFonts w:asciiTheme="majorHAnsi" w:hAnsiTheme="majorHAnsi" w:cs="Arial"/>
        </w:rPr>
      </w:pPr>
    </w:p>
    <w:p w:rsidR="00475513" w:rsidRPr="007C0D64" w:rsidRDefault="00475513" w:rsidP="00475513">
      <w:pPr>
        <w:rPr>
          <w:rFonts w:asciiTheme="majorHAnsi" w:hAnsiTheme="majorHAnsi" w:cs="Arial"/>
          <w:b/>
          <w:i/>
        </w:rPr>
      </w:pPr>
      <w:r w:rsidRPr="007C0D64">
        <w:rPr>
          <w:rFonts w:asciiTheme="majorHAnsi" w:hAnsiTheme="majorHAnsi" w:cs="Arial"/>
          <w:b/>
          <w:i/>
        </w:rPr>
        <w:t>Lothian GP Sub-committee</w:t>
      </w:r>
      <w:r w:rsidR="00400FCB" w:rsidRPr="007C0D64">
        <w:rPr>
          <w:rFonts w:asciiTheme="majorHAnsi" w:hAnsiTheme="majorHAnsi" w:cs="Arial"/>
          <w:b/>
          <w:i/>
        </w:rPr>
        <w:t xml:space="preserve"> and LIG</w:t>
      </w:r>
      <w:r w:rsidRPr="007C0D64">
        <w:rPr>
          <w:rFonts w:asciiTheme="majorHAnsi" w:hAnsiTheme="majorHAnsi" w:cs="Arial"/>
          <w:b/>
          <w:i/>
        </w:rPr>
        <w:t xml:space="preserve"> </w:t>
      </w:r>
    </w:p>
    <w:p w:rsidR="00475513" w:rsidRDefault="00475513" w:rsidP="00475513">
      <w:pPr>
        <w:rPr>
          <w:rFonts w:asciiTheme="majorHAnsi" w:hAnsiTheme="majorHAnsi" w:cs="Arial"/>
        </w:rPr>
      </w:pPr>
    </w:p>
    <w:p w:rsidR="00AF6444" w:rsidRDefault="007C0D64">
      <w:r>
        <w:rPr>
          <w:rFonts w:asciiTheme="majorHAnsi" w:hAnsiTheme="majorHAnsi" w:cs="Arial"/>
        </w:rPr>
        <w:t>January 2024</w:t>
      </w:r>
    </w:p>
    <w:sectPr w:rsidR="00AF6444" w:rsidSect="007C0D64">
      <w:pgSz w:w="11906" w:h="16838"/>
      <w:pgMar w:top="1134" w:right="1304"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23FA8"/>
    <w:multiLevelType w:val="hybridMultilevel"/>
    <w:tmpl w:val="B4EC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AC129A"/>
    <w:multiLevelType w:val="hybridMultilevel"/>
    <w:tmpl w:val="CCC8B7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5513"/>
    <w:rsid w:val="00011883"/>
    <w:rsid w:val="00016783"/>
    <w:rsid w:val="00037881"/>
    <w:rsid w:val="00040E09"/>
    <w:rsid w:val="00164263"/>
    <w:rsid w:val="001866D1"/>
    <w:rsid w:val="00214A13"/>
    <w:rsid w:val="00240897"/>
    <w:rsid w:val="002C23C7"/>
    <w:rsid w:val="00384A5B"/>
    <w:rsid w:val="003A6DA1"/>
    <w:rsid w:val="003F3478"/>
    <w:rsid w:val="00400FCB"/>
    <w:rsid w:val="00475513"/>
    <w:rsid w:val="004D047F"/>
    <w:rsid w:val="00564D86"/>
    <w:rsid w:val="006476D4"/>
    <w:rsid w:val="00672504"/>
    <w:rsid w:val="00672651"/>
    <w:rsid w:val="006B21D7"/>
    <w:rsid w:val="007C0D64"/>
    <w:rsid w:val="00910AA4"/>
    <w:rsid w:val="009255EF"/>
    <w:rsid w:val="0097055A"/>
    <w:rsid w:val="00A22F93"/>
    <w:rsid w:val="00AF6444"/>
    <w:rsid w:val="00B17A08"/>
    <w:rsid w:val="00C223ED"/>
    <w:rsid w:val="00CA532C"/>
    <w:rsid w:val="00CC5E9C"/>
    <w:rsid w:val="00CE52C0"/>
    <w:rsid w:val="00CF7344"/>
    <w:rsid w:val="00D12048"/>
    <w:rsid w:val="00D26F70"/>
    <w:rsid w:val="00D66310"/>
    <w:rsid w:val="00FD2A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513"/>
    <w:pPr>
      <w:ind w:left="720"/>
      <w:contextualSpacing/>
    </w:pPr>
  </w:style>
  <w:style w:type="character" w:styleId="Hyperlink">
    <w:name w:val="Hyperlink"/>
    <w:basedOn w:val="DefaultParagraphFont"/>
    <w:uiPriority w:val="99"/>
    <w:unhideWhenUsed/>
    <w:rsid w:val="00475513"/>
    <w:rPr>
      <w:color w:val="0563C1" w:themeColor="hyperlink"/>
      <w:u w:val="single"/>
    </w:rPr>
  </w:style>
  <w:style w:type="table" w:styleId="TableGrid">
    <w:name w:val="Table Grid"/>
    <w:basedOn w:val="TableNormal"/>
    <w:uiPriority w:val="59"/>
    <w:rsid w:val="00475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75513"/>
    <w:pPr>
      <w:spacing w:after="0" w:line="240" w:lineRule="auto"/>
    </w:pPr>
  </w:style>
  <w:style w:type="character" w:styleId="CommentReference">
    <w:name w:val="annotation reference"/>
    <w:basedOn w:val="DefaultParagraphFont"/>
    <w:uiPriority w:val="99"/>
    <w:semiHidden/>
    <w:unhideWhenUsed/>
    <w:rsid w:val="00564D86"/>
    <w:rPr>
      <w:sz w:val="16"/>
      <w:szCs w:val="16"/>
    </w:rPr>
  </w:style>
  <w:style w:type="paragraph" w:styleId="CommentText">
    <w:name w:val="annotation text"/>
    <w:basedOn w:val="Normal"/>
    <w:link w:val="CommentTextChar"/>
    <w:uiPriority w:val="99"/>
    <w:unhideWhenUsed/>
    <w:rsid w:val="00564D86"/>
    <w:pPr>
      <w:spacing w:line="240" w:lineRule="auto"/>
    </w:pPr>
    <w:rPr>
      <w:sz w:val="20"/>
      <w:szCs w:val="20"/>
    </w:rPr>
  </w:style>
  <w:style w:type="character" w:customStyle="1" w:styleId="CommentTextChar">
    <w:name w:val="Comment Text Char"/>
    <w:basedOn w:val="DefaultParagraphFont"/>
    <w:link w:val="CommentText"/>
    <w:uiPriority w:val="99"/>
    <w:rsid w:val="00564D86"/>
    <w:rPr>
      <w:sz w:val="20"/>
      <w:szCs w:val="20"/>
    </w:rPr>
  </w:style>
  <w:style w:type="paragraph" w:styleId="CommentSubject">
    <w:name w:val="annotation subject"/>
    <w:basedOn w:val="CommentText"/>
    <w:next w:val="CommentText"/>
    <w:link w:val="CommentSubjectChar"/>
    <w:uiPriority w:val="99"/>
    <w:semiHidden/>
    <w:unhideWhenUsed/>
    <w:rsid w:val="00564D86"/>
    <w:rPr>
      <w:b/>
      <w:bCs/>
    </w:rPr>
  </w:style>
  <w:style w:type="character" w:customStyle="1" w:styleId="CommentSubjectChar">
    <w:name w:val="Comment Subject Char"/>
    <w:basedOn w:val="CommentTextChar"/>
    <w:link w:val="CommentSubject"/>
    <w:uiPriority w:val="99"/>
    <w:semiHidden/>
    <w:rsid w:val="00564D86"/>
    <w:rPr>
      <w:b/>
      <w:bCs/>
      <w:sz w:val="20"/>
      <w:szCs w:val="20"/>
    </w:rPr>
  </w:style>
  <w:style w:type="paragraph" w:styleId="BalloonText">
    <w:name w:val="Balloon Text"/>
    <w:basedOn w:val="Normal"/>
    <w:link w:val="BalloonTextChar"/>
    <w:uiPriority w:val="99"/>
    <w:semiHidden/>
    <w:unhideWhenUsed/>
    <w:rsid w:val="00D12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04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lothian.scot.nhs.uk/Directory/lothianinterfacegroup/Pages/default.aspx" TargetMode="External"/><Relationship Id="rId13" Type="http://schemas.openxmlformats.org/officeDocument/2006/relationships/hyperlink" Target="https://www.gov.scot/publications/urgent-suspicion-cancer-national-regrading-guidance/" TargetMode="External"/><Relationship Id="rId3" Type="http://schemas.openxmlformats.org/officeDocument/2006/relationships/styles" Target="styles.xml"/><Relationship Id="rId7" Type="http://schemas.openxmlformats.org/officeDocument/2006/relationships/hyperlink" Target="https://www.gmc-uk.org/ethical-guidance/ethical-guidance-for-doctors/good-medical-practice" TargetMode="External"/><Relationship Id="rId12" Type="http://schemas.openxmlformats.org/officeDocument/2006/relationships/hyperlink" Target="http://intranet.lothian.scot.nhs.uk/Directory/lothianinterfacegroup/Pag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ma.org.uk/advice-and-support/gp-practices/communication-with-patients/duty-of-care-when-test-results-and-drugs-are-ordered-by-secondary-care" TargetMode="External"/><Relationship Id="rId11" Type="http://schemas.openxmlformats.org/officeDocument/2006/relationships/hyperlink" Target="https://formulary.nhs.scot/east/help-and-support/for-healthcare-professiona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s.nhslothian.scot/refhelp/vaccination-services/" TargetMode="External"/><Relationship Id="rId4" Type="http://schemas.openxmlformats.org/officeDocument/2006/relationships/settings" Target="settings.xml"/><Relationship Id="rId9" Type="http://schemas.openxmlformats.org/officeDocument/2006/relationships/hyperlink" Target="https://apps.nhslothian.scot/refhelp/vaccinations-and-cta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BMA23</b:Tag>
    <b:SourceType>InternetSite</b:SourceType>
    <b:Guid>{2A94C6AF-5786-4059-9B37-BD147ED3D3F9}</b:Guid>
    <b:Title>BMA Scotland: GP Crisis "going to get worse" as wellbeing among profession suffers</b:Title>
    <b:Year>2023</b:Year>
    <b:Author>
      <b:Author>
        <b:NameList>
          <b:Person>
            <b:Last>BMA</b:Last>
          </b:Person>
        </b:NameList>
      </b:Author>
    </b:Author>
    <b:InternetSiteTitle>BMA Scotland</b:InternetSiteTitle>
    <b:Month>August</b:Month>
    <b:Day>13</b:Day>
    <b:URL>https://www.bma.org.uk/bma-media-centre/bma-scotland-gp-crisis-going-to-get-worse-as-wellbeing-among-profession-suffers</b:URL>
    <b:RefOrder>1</b:RefOrder>
  </b:Source>
</b:Sources>
</file>

<file path=customXml/itemProps1.xml><?xml version="1.0" encoding="utf-8"?>
<ds:datastoreItem xmlns:ds="http://schemas.openxmlformats.org/officeDocument/2006/customXml" ds:itemID="{FEE222C2-A640-4236-96C9-374357B3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Chowings, Jeremy S</dc:creator>
  <cp:lastModifiedBy>Nicola Smith</cp:lastModifiedBy>
  <cp:revision>2</cp:revision>
  <dcterms:created xsi:type="dcterms:W3CDTF">2025-05-14T13:14:00Z</dcterms:created>
  <dcterms:modified xsi:type="dcterms:W3CDTF">2025-05-14T13:14:00Z</dcterms:modified>
</cp:coreProperties>
</file>